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C979B" w14:textId="52342D1E" w:rsidR="00254D20" w:rsidRDefault="004D37AA" w:rsidP="00E712D3">
      <w:r>
        <w:rPr>
          <w:noProof/>
        </w:rPr>
        <w:drawing>
          <wp:anchor distT="0" distB="0" distL="114300" distR="114300" simplePos="0" relativeHeight="251658241" behindDoc="1" locked="0" layoutInCell="1" allowOverlap="1" wp14:anchorId="6A5C9898" wp14:editId="78CAF3C1">
            <wp:simplePos x="904875" y="1466850"/>
            <wp:positionH relativeFrom="page">
              <wp:align>center</wp:align>
            </wp:positionH>
            <wp:positionV relativeFrom="page">
              <wp:align>center</wp:align>
            </wp:positionV>
            <wp:extent cx="7560360" cy="106945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Consultation gu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360" cy="10694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6A5C9898" wp14:editId="78CAF3C1">
            <wp:simplePos x="904875" y="1466850"/>
            <wp:positionH relativeFrom="page">
              <wp:align>center</wp:align>
            </wp:positionH>
            <wp:positionV relativeFrom="page">
              <wp:align>center</wp:align>
            </wp:positionV>
            <wp:extent cx="7560360" cy="106945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Consultation gui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360" cy="10694520"/>
                    </a:xfrm>
                    <a:prstGeom prst="rect">
                      <a:avLst/>
                    </a:prstGeom>
                  </pic:spPr>
                </pic:pic>
              </a:graphicData>
            </a:graphic>
            <wp14:sizeRelH relativeFrom="margin">
              <wp14:pctWidth>0</wp14:pctWidth>
            </wp14:sizeRelH>
            <wp14:sizeRelV relativeFrom="margin">
              <wp14:pctHeight>0</wp14:pctHeight>
            </wp14:sizeRelV>
          </wp:anchor>
        </w:drawing>
      </w:r>
    </w:p>
    <w:p w14:paraId="6A5C979C" w14:textId="6C5756A1" w:rsidR="00254D20" w:rsidRDefault="00254D20" w:rsidP="00E712D3"/>
    <w:p w14:paraId="6A5C979D" w14:textId="64CE3754" w:rsidR="00254D20" w:rsidRDefault="009C6248" w:rsidP="009C6248">
      <w:pPr>
        <w:tabs>
          <w:tab w:val="right" w:pos="9070"/>
        </w:tabs>
      </w:pPr>
      <w:r>
        <w:tab/>
      </w:r>
    </w:p>
    <w:p w14:paraId="6A5C979E" w14:textId="77777777" w:rsidR="00254D20" w:rsidRDefault="00254D20" w:rsidP="00E712D3"/>
    <w:p w14:paraId="6A5C979F" w14:textId="7A053888" w:rsidR="00254D20" w:rsidRDefault="00254D20" w:rsidP="00E712D3"/>
    <w:p w14:paraId="6A5C97A0" w14:textId="77777777" w:rsidR="00254D20" w:rsidRDefault="00254D20" w:rsidP="00E712D3"/>
    <w:p w14:paraId="6A5C97A1" w14:textId="77777777" w:rsidR="00254D20" w:rsidRDefault="00254D20" w:rsidP="00E712D3"/>
    <w:p w14:paraId="6A5C97A2" w14:textId="77777777" w:rsidR="00254D20" w:rsidRPr="00E712D3" w:rsidRDefault="00254D20" w:rsidP="00E712D3"/>
    <w:p w14:paraId="0701971B" w14:textId="77777777" w:rsidR="00251099" w:rsidRDefault="00251099" w:rsidP="00E712D3">
      <w:pPr>
        <w:pStyle w:val="Title"/>
        <w:rPr>
          <w:sz w:val="56"/>
          <w:szCs w:val="56"/>
        </w:rPr>
      </w:pPr>
    </w:p>
    <w:p w14:paraId="6A5C97A3" w14:textId="23CCE889" w:rsidR="000E0B74" w:rsidRPr="00E712D3" w:rsidRDefault="00254D20" w:rsidP="00E712D3">
      <w:pPr>
        <w:pStyle w:val="Title"/>
        <w:rPr>
          <w:sz w:val="56"/>
          <w:szCs w:val="56"/>
        </w:rPr>
      </w:pPr>
      <w:r>
        <w:rPr>
          <w:sz w:val="56"/>
          <w:szCs w:val="56"/>
        </w:rPr>
        <w:t xml:space="preserve">Review of </w:t>
      </w:r>
      <w:r w:rsidR="00754A10">
        <w:rPr>
          <w:sz w:val="56"/>
          <w:szCs w:val="56"/>
        </w:rPr>
        <w:t>CGT Roll-overs</w:t>
      </w:r>
    </w:p>
    <w:p w14:paraId="6A5C97A4" w14:textId="6E6D122D" w:rsidR="000E0B74" w:rsidRPr="00706E8E" w:rsidRDefault="003857B7" w:rsidP="003857B7">
      <w:pPr>
        <w:pStyle w:val="Subtitle"/>
        <w:spacing w:after="3000"/>
      </w:pPr>
      <w:r w:rsidRPr="003857B7">
        <w:t>Consultation Guide</w:t>
      </w:r>
    </w:p>
    <w:p w14:paraId="38E8070B" w14:textId="1218FCA1" w:rsidR="00754A10" w:rsidRDefault="00754A10" w:rsidP="000E0B74">
      <w:pPr>
        <w:pStyle w:val="ReportDate"/>
        <w:ind w:right="0"/>
        <w:rPr>
          <w:rStyle w:val="ReportDateChar"/>
        </w:rPr>
      </w:pPr>
    </w:p>
    <w:p w14:paraId="6A5C97A5" w14:textId="336D72AB" w:rsidR="00056880" w:rsidRDefault="00AC503D" w:rsidP="000E0B74">
      <w:pPr>
        <w:pStyle w:val="ReportDate"/>
        <w:ind w:right="0"/>
        <w:rPr>
          <w:rFonts w:ascii="Rockwell" w:hAnsi="Rockwell"/>
          <w:sz w:val="24"/>
        </w:rPr>
      </w:pPr>
      <w:r>
        <w:rPr>
          <w:rStyle w:val="ReportDateChar"/>
        </w:rPr>
        <w:t xml:space="preserve">February </w:t>
      </w:r>
      <w:r w:rsidR="003857B7">
        <w:rPr>
          <w:rStyle w:val="ReportDateChar"/>
        </w:rPr>
        <w:t>20</w:t>
      </w:r>
      <w:r>
        <w:rPr>
          <w:rStyle w:val="ReportDateChar"/>
        </w:rPr>
        <w:t>20</w:t>
      </w:r>
    </w:p>
    <w:p w14:paraId="6A5C97A6" w14:textId="2B3CAFE2" w:rsidR="002F617F" w:rsidRPr="005D561D" w:rsidRDefault="002F617F" w:rsidP="002F617F">
      <w:pPr>
        <w:pStyle w:val="Divider"/>
      </w:pPr>
    </w:p>
    <w:p w14:paraId="6A5C97A7" w14:textId="77777777" w:rsidR="002F617F" w:rsidRDefault="002F617F"/>
    <w:p w14:paraId="6A5C97A8" w14:textId="77777777" w:rsidR="000E0B74" w:rsidRDefault="000E0B74" w:rsidP="000E0B74">
      <w:pPr>
        <w:rPr>
          <w:rFonts w:cs="Calibri"/>
          <w:sz w:val="20"/>
        </w:rPr>
      </w:pPr>
    </w:p>
    <w:p w14:paraId="6A5C97A9" w14:textId="77777777" w:rsidR="000E0B74" w:rsidRDefault="000E0B74" w:rsidP="000E0B74">
      <w:pPr>
        <w:sectPr w:rsidR="000E0B74" w:rsidSect="00C01DCC">
          <w:footerReference w:type="even" r:id="rId14"/>
          <w:pgSz w:w="11906" w:h="16838"/>
          <w:pgMar w:top="1418" w:right="1418" w:bottom="1418" w:left="1418" w:header="709" w:footer="709" w:gutter="0"/>
          <w:cols w:space="720"/>
        </w:sectPr>
      </w:pPr>
    </w:p>
    <w:p w14:paraId="6A5C97AA" w14:textId="77777777" w:rsidR="000E0B74" w:rsidRDefault="000E0B74" w:rsidP="00ED53E0">
      <w:pPr>
        <w:pStyle w:val="Heading1"/>
        <w:spacing w:before="0"/>
      </w:pPr>
      <w:bookmarkStart w:id="0" w:name="_Toc504653882"/>
      <w:bookmarkStart w:id="1" w:name="_Toc31967321"/>
      <w:r w:rsidRPr="001F1B27">
        <w:lastRenderedPageBreak/>
        <w:t>Contents</w:t>
      </w:r>
      <w:bookmarkEnd w:id="0"/>
      <w:bookmarkEnd w:id="1"/>
    </w:p>
    <w:p w14:paraId="4E1845D3" w14:textId="48B739AC" w:rsidR="004A3EE0" w:rsidRDefault="000E0B74">
      <w:pPr>
        <w:pStyle w:val="TOC1"/>
        <w:rPr>
          <w:rFonts w:asciiTheme="minorHAnsi" w:eastAsiaTheme="minorEastAsia" w:hAnsiTheme="minorHAnsi" w:cstheme="minorBidi"/>
          <w:b w:val="0"/>
          <w:color w:val="auto"/>
        </w:rPr>
      </w:pPr>
      <w:r>
        <w:rPr>
          <w:color w:val="004A7F"/>
        </w:rPr>
        <w:fldChar w:fldCharType="begin"/>
      </w:r>
      <w:r w:rsidRPr="0025652F">
        <w:instrText xml:space="preserve"> TOC \o "1-3" \h \z \u </w:instrText>
      </w:r>
      <w:r>
        <w:rPr>
          <w:color w:val="004A7F"/>
        </w:rPr>
        <w:fldChar w:fldCharType="separate"/>
      </w:r>
      <w:hyperlink w:anchor="_Toc31967321" w:history="1">
        <w:r w:rsidR="004A3EE0" w:rsidRPr="00C32DEE">
          <w:rPr>
            <w:rStyle w:val="Hyperlink"/>
          </w:rPr>
          <w:t>Contents</w:t>
        </w:r>
        <w:r w:rsidR="004A3EE0">
          <w:rPr>
            <w:webHidden/>
          </w:rPr>
          <w:tab/>
        </w:r>
        <w:r w:rsidR="004A3EE0">
          <w:rPr>
            <w:webHidden/>
          </w:rPr>
          <w:fldChar w:fldCharType="begin"/>
        </w:r>
        <w:r w:rsidR="004A3EE0">
          <w:rPr>
            <w:webHidden/>
          </w:rPr>
          <w:instrText xml:space="preserve"> PAGEREF _Toc31967321 \h </w:instrText>
        </w:r>
        <w:r w:rsidR="004A3EE0">
          <w:rPr>
            <w:webHidden/>
          </w:rPr>
        </w:r>
        <w:r w:rsidR="004A3EE0">
          <w:rPr>
            <w:webHidden/>
          </w:rPr>
          <w:fldChar w:fldCharType="separate"/>
        </w:r>
        <w:r w:rsidR="004A3EE0">
          <w:rPr>
            <w:webHidden/>
          </w:rPr>
          <w:t>2</w:t>
        </w:r>
        <w:r w:rsidR="004A3EE0">
          <w:rPr>
            <w:webHidden/>
          </w:rPr>
          <w:fldChar w:fldCharType="end"/>
        </w:r>
      </w:hyperlink>
    </w:p>
    <w:p w14:paraId="143B9748" w14:textId="6EBA5C75" w:rsidR="004A3EE0" w:rsidRDefault="001E67B9">
      <w:pPr>
        <w:pStyle w:val="TOC1"/>
        <w:rPr>
          <w:rFonts w:asciiTheme="minorHAnsi" w:eastAsiaTheme="minorEastAsia" w:hAnsiTheme="minorHAnsi" w:cstheme="minorBidi"/>
          <w:b w:val="0"/>
          <w:color w:val="auto"/>
        </w:rPr>
      </w:pPr>
      <w:hyperlink w:anchor="_Toc31967322" w:history="1">
        <w:r w:rsidR="004A3EE0" w:rsidRPr="00C32DEE">
          <w:rPr>
            <w:rStyle w:val="Hyperlink"/>
          </w:rPr>
          <w:t>Reform directions for the capital gains tax roll-over rules</w:t>
        </w:r>
        <w:r w:rsidR="004A3EE0">
          <w:rPr>
            <w:webHidden/>
          </w:rPr>
          <w:tab/>
        </w:r>
        <w:r w:rsidR="004A3EE0">
          <w:rPr>
            <w:webHidden/>
          </w:rPr>
          <w:fldChar w:fldCharType="begin"/>
        </w:r>
        <w:r w:rsidR="004A3EE0">
          <w:rPr>
            <w:webHidden/>
          </w:rPr>
          <w:instrText xml:space="preserve"> PAGEREF _Toc31967322 \h </w:instrText>
        </w:r>
        <w:r w:rsidR="004A3EE0">
          <w:rPr>
            <w:webHidden/>
          </w:rPr>
        </w:r>
        <w:r w:rsidR="004A3EE0">
          <w:rPr>
            <w:webHidden/>
          </w:rPr>
          <w:fldChar w:fldCharType="separate"/>
        </w:r>
        <w:r w:rsidR="004A3EE0">
          <w:rPr>
            <w:webHidden/>
          </w:rPr>
          <w:t>3</w:t>
        </w:r>
        <w:r w:rsidR="004A3EE0">
          <w:rPr>
            <w:webHidden/>
          </w:rPr>
          <w:fldChar w:fldCharType="end"/>
        </w:r>
      </w:hyperlink>
    </w:p>
    <w:p w14:paraId="4D2760A6" w14:textId="071D5081" w:rsidR="004A3EE0" w:rsidRDefault="001E67B9">
      <w:pPr>
        <w:pStyle w:val="TOC1"/>
        <w:rPr>
          <w:rFonts w:asciiTheme="minorHAnsi" w:eastAsiaTheme="minorEastAsia" w:hAnsiTheme="minorHAnsi" w:cstheme="minorBidi"/>
          <w:b w:val="0"/>
          <w:color w:val="auto"/>
        </w:rPr>
      </w:pPr>
      <w:hyperlink w:anchor="_Toc31967323" w:history="1">
        <w:r w:rsidR="004A3EE0" w:rsidRPr="00C32DEE">
          <w:rPr>
            <w:rStyle w:val="Hyperlink"/>
          </w:rPr>
          <w:t>Consultation</w:t>
        </w:r>
        <w:r w:rsidR="004A3EE0">
          <w:rPr>
            <w:webHidden/>
          </w:rPr>
          <w:tab/>
        </w:r>
        <w:r w:rsidR="004A3EE0">
          <w:rPr>
            <w:webHidden/>
          </w:rPr>
          <w:fldChar w:fldCharType="begin"/>
        </w:r>
        <w:r w:rsidR="004A3EE0">
          <w:rPr>
            <w:webHidden/>
          </w:rPr>
          <w:instrText xml:space="preserve"> PAGEREF _Toc31967323 \h </w:instrText>
        </w:r>
        <w:r w:rsidR="004A3EE0">
          <w:rPr>
            <w:webHidden/>
          </w:rPr>
        </w:r>
        <w:r w:rsidR="004A3EE0">
          <w:rPr>
            <w:webHidden/>
          </w:rPr>
          <w:fldChar w:fldCharType="separate"/>
        </w:r>
        <w:r w:rsidR="004A3EE0">
          <w:rPr>
            <w:webHidden/>
          </w:rPr>
          <w:t>4</w:t>
        </w:r>
        <w:r w:rsidR="004A3EE0">
          <w:rPr>
            <w:webHidden/>
          </w:rPr>
          <w:fldChar w:fldCharType="end"/>
        </w:r>
      </w:hyperlink>
    </w:p>
    <w:p w14:paraId="7AB3A2AF" w14:textId="436FFD9F" w:rsidR="004A3EE0" w:rsidRDefault="001E67B9">
      <w:pPr>
        <w:pStyle w:val="TOC1"/>
        <w:rPr>
          <w:rFonts w:asciiTheme="minorHAnsi" w:eastAsiaTheme="minorEastAsia" w:hAnsiTheme="minorHAnsi" w:cstheme="minorBidi"/>
          <w:b w:val="0"/>
          <w:color w:val="auto"/>
        </w:rPr>
      </w:pPr>
      <w:hyperlink w:anchor="_Toc31967324" w:history="1">
        <w:r w:rsidR="004A3EE0" w:rsidRPr="00C32DEE">
          <w:rPr>
            <w:rStyle w:val="Hyperlink"/>
          </w:rPr>
          <w:t>The current system of CGT roll-overs</w:t>
        </w:r>
        <w:r w:rsidR="004A3EE0">
          <w:rPr>
            <w:webHidden/>
          </w:rPr>
          <w:tab/>
        </w:r>
        <w:r w:rsidR="004A3EE0">
          <w:rPr>
            <w:webHidden/>
          </w:rPr>
          <w:fldChar w:fldCharType="begin"/>
        </w:r>
        <w:r w:rsidR="004A3EE0">
          <w:rPr>
            <w:webHidden/>
          </w:rPr>
          <w:instrText xml:space="preserve"> PAGEREF _Toc31967324 \h </w:instrText>
        </w:r>
        <w:r w:rsidR="004A3EE0">
          <w:rPr>
            <w:webHidden/>
          </w:rPr>
        </w:r>
        <w:r w:rsidR="004A3EE0">
          <w:rPr>
            <w:webHidden/>
          </w:rPr>
          <w:fldChar w:fldCharType="separate"/>
        </w:r>
        <w:r w:rsidR="004A3EE0">
          <w:rPr>
            <w:webHidden/>
          </w:rPr>
          <w:t>5</w:t>
        </w:r>
        <w:r w:rsidR="004A3EE0">
          <w:rPr>
            <w:webHidden/>
          </w:rPr>
          <w:fldChar w:fldCharType="end"/>
        </w:r>
      </w:hyperlink>
    </w:p>
    <w:p w14:paraId="5875005E" w14:textId="7BF661CB" w:rsidR="004A3EE0" w:rsidRDefault="001E67B9">
      <w:pPr>
        <w:pStyle w:val="TOC1"/>
        <w:rPr>
          <w:rFonts w:asciiTheme="minorHAnsi" w:eastAsiaTheme="minorEastAsia" w:hAnsiTheme="minorHAnsi" w:cstheme="minorBidi"/>
          <w:b w:val="0"/>
          <w:color w:val="auto"/>
        </w:rPr>
      </w:pPr>
      <w:hyperlink w:anchor="_Toc31967325" w:history="1">
        <w:r w:rsidR="004A3EE0" w:rsidRPr="00C32DEE">
          <w:rPr>
            <w:rStyle w:val="Hyperlink"/>
          </w:rPr>
          <w:t>Policy considerations for reform</w:t>
        </w:r>
        <w:r w:rsidR="004A3EE0">
          <w:rPr>
            <w:webHidden/>
          </w:rPr>
          <w:tab/>
        </w:r>
        <w:r w:rsidR="004A3EE0">
          <w:rPr>
            <w:webHidden/>
          </w:rPr>
          <w:fldChar w:fldCharType="begin"/>
        </w:r>
        <w:r w:rsidR="004A3EE0">
          <w:rPr>
            <w:webHidden/>
          </w:rPr>
          <w:instrText xml:space="preserve"> PAGEREF _Toc31967325 \h </w:instrText>
        </w:r>
        <w:r w:rsidR="004A3EE0">
          <w:rPr>
            <w:webHidden/>
          </w:rPr>
        </w:r>
        <w:r w:rsidR="004A3EE0">
          <w:rPr>
            <w:webHidden/>
          </w:rPr>
          <w:fldChar w:fldCharType="separate"/>
        </w:r>
        <w:r w:rsidR="004A3EE0">
          <w:rPr>
            <w:webHidden/>
          </w:rPr>
          <w:t>12</w:t>
        </w:r>
        <w:r w:rsidR="004A3EE0">
          <w:rPr>
            <w:webHidden/>
          </w:rPr>
          <w:fldChar w:fldCharType="end"/>
        </w:r>
      </w:hyperlink>
    </w:p>
    <w:p w14:paraId="1B9C0C76" w14:textId="36A5B5D3" w:rsidR="004A3EE0" w:rsidRDefault="001E67B9">
      <w:pPr>
        <w:pStyle w:val="TOC1"/>
        <w:rPr>
          <w:rFonts w:asciiTheme="minorHAnsi" w:eastAsiaTheme="minorEastAsia" w:hAnsiTheme="minorHAnsi" w:cstheme="minorBidi"/>
          <w:b w:val="0"/>
          <w:color w:val="auto"/>
        </w:rPr>
      </w:pPr>
      <w:hyperlink w:anchor="_Toc31967326" w:history="1">
        <w:r w:rsidR="004A3EE0" w:rsidRPr="00C32DEE">
          <w:rPr>
            <w:rStyle w:val="Hyperlink"/>
          </w:rPr>
          <w:t>Terms of Reference</w:t>
        </w:r>
        <w:r w:rsidR="004A3EE0">
          <w:rPr>
            <w:webHidden/>
          </w:rPr>
          <w:tab/>
        </w:r>
        <w:r w:rsidR="004A3EE0">
          <w:rPr>
            <w:webHidden/>
          </w:rPr>
          <w:fldChar w:fldCharType="begin"/>
        </w:r>
        <w:r w:rsidR="004A3EE0">
          <w:rPr>
            <w:webHidden/>
          </w:rPr>
          <w:instrText xml:space="preserve"> PAGEREF _Toc31967326 \h </w:instrText>
        </w:r>
        <w:r w:rsidR="004A3EE0">
          <w:rPr>
            <w:webHidden/>
          </w:rPr>
        </w:r>
        <w:r w:rsidR="004A3EE0">
          <w:rPr>
            <w:webHidden/>
          </w:rPr>
          <w:fldChar w:fldCharType="separate"/>
        </w:r>
        <w:r w:rsidR="004A3EE0">
          <w:rPr>
            <w:webHidden/>
          </w:rPr>
          <w:t>15</w:t>
        </w:r>
        <w:r w:rsidR="004A3EE0">
          <w:rPr>
            <w:webHidden/>
          </w:rPr>
          <w:fldChar w:fldCharType="end"/>
        </w:r>
      </w:hyperlink>
    </w:p>
    <w:p w14:paraId="4C96DD70" w14:textId="108DDBB6" w:rsidR="004A3EE0" w:rsidRDefault="001E67B9">
      <w:pPr>
        <w:pStyle w:val="TOC1"/>
        <w:rPr>
          <w:rFonts w:asciiTheme="minorHAnsi" w:eastAsiaTheme="minorEastAsia" w:hAnsiTheme="minorHAnsi" w:cstheme="minorBidi"/>
          <w:b w:val="0"/>
          <w:color w:val="auto"/>
        </w:rPr>
      </w:pPr>
      <w:hyperlink w:anchor="_Toc31967327" w:history="1">
        <w:r w:rsidR="004A3EE0" w:rsidRPr="00C32DEE">
          <w:rPr>
            <w:rStyle w:val="Hyperlink"/>
          </w:rPr>
          <w:t>Consultation questions</w:t>
        </w:r>
        <w:r w:rsidR="004A3EE0">
          <w:rPr>
            <w:webHidden/>
          </w:rPr>
          <w:tab/>
        </w:r>
        <w:r w:rsidR="004A3EE0">
          <w:rPr>
            <w:webHidden/>
          </w:rPr>
          <w:fldChar w:fldCharType="begin"/>
        </w:r>
        <w:r w:rsidR="004A3EE0">
          <w:rPr>
            <w:webHidden/>
          </w:rPr>
          <w:instrText xml:space="preserve"> PAGEREF _Toc31967327 \h </w:instrText>
        </w:r>
        <w:r w:rsidR="004A3EE0">
          <w:rPr>
            <w:webHidden/>
          </w:rPr>
        </w:r>
        <w:r w:rsidR="004A3EE0">
          <w:rPr>
            <w:webHidden/>
          </w:rPr>
          <w:fldChar w:fldCharType="separate"/>
        </w:r>
        <w:r w:rsidR="004A3EE0">
          <w:rPr>
            <w:webHidden/>
          </w:rPr>
          <w:t>16</w:t>
        </w:r>
        <w:r w:rsidR="004A3EE0">
          <w:rPr>
            <w:webHidden/>
          </w:rPr>
          <w:fldChar w:fldCharType="end"/>
        </w:r>
      </w:hyperlink>
    </w:p>
    <w:p w14:paraId="52B9F1F8" w14:textId="6BAA1377" w:rsidR="004A3EE0" w:rsidRDefault="001E67B9">
      <w:pPr>
        <w:pStyle w:val="TOC1"/>
        <w:rPr>
          <w:rFonts w:asciiTheme="minorHAnsi" w:eastAsiaTheme="minorEastAsia" w:hAnsiTheme="minorHAnsi" w:cstheme="minorBidi"/>
          <w:b w:val="0"/>
          <w:color w:val="auto"/>
        </w:rPr>
      </w:pPr>
      <w:hyperlink w:anchor="_Toc31967328" w:history="1">
        <w:r w:rsidR="004A3EE0" w:rsidRPr="00C32DEE">
          <w:rPr>
            <w:rStyle w:val="Hyperlink"/>
          </w:rPr>
          <w:t>Membership</w:t>
        </w:r>
        <w:r w:rsidR="004A3EE0">
          <w:rPr>
            <w:webHidden/>
          </w:rPr>
          <w:tab/>
        </w:r>
        <w:r w:rsidR="004A3EE0">
          <w:rPr>
            <w:webHidden/>
          </w:rPr>
          <w:fldChar w:fldCharType="begin"/>
        </w:r>
        <w:r w:rsidR="004A3EE0">
          <w:rPr>
            <w:webHidden/>
          </w:rPr>
          <w:instrText xml:space="preserve"> PAGEREF _Toc31967328 \h </w:instrText>
        </w:r>
        <w:r w:rsidR="004A3EE0">
          <w:rPr>
            <w:webHidden/>
          </w:rPr>
        </w:r>
        <w:r w:rsidR="004A3EE0">
          <w:rPr>
            <w:webHidden/>
          </w:rPr>
          <w:fldChar w:fldCharType="separate"/>
        </w:r>
        <w:r w:rsidR="004A3EE0">
          <w:rPr>
            <w:webHidden/>
          </w:rPr>
          <w:t>17</w:t>
        </w:r>
        <w:r w:rsidR="004A3EE0">
          <w:rPr>
            <w:webHidden/>
          </w:rPr>
          <w:fldChar w:fldCharType="end"/>
        </w:r>
      </w:hyperlink>
    </w:p>
    <w:p w14:paraId="4284A098" w14:textId="5C64E8A4" w:rsidR="004A3EE0" w:rsidRDefault="001E67B9">
      <w:pPr>
        <w:pStyle w:val="TOC1"/>
        <w:rPr>
          <w:rFonts w:asciiTheme="minorHAnsi" w:eastAsiaTheme="minorEastAsia" w:hAnsiTheme="minorHAnsi" w:cstheme="minorBidi"/>
          <w:b w:val="0"/>
          <w:color w:val="auto"/>
        </w:rPr>
      </w:pPr>
      <w:hyperlink w:anchor="_Toc31967329" w:history="1">
        <w:r w:rsidR="004A3EE0" w:rsidRPr="00C32DEE">
          <w:rPr>
            <w:rStyle w:val="Hyperlink"/>
          </w:rPr>
          <w:t>How to participate</w:t>
        </w:r>
        <w:r w:rsidR="004A3EE0">
          <w:rPr>
            <w:webHidden/>
          </w:rPr>
          <w:tab/>
        </w:r>
        <w:r w:rsidR="004A3EE0">
          <w:rPr>
            <w:webHidden/>
          </w:rPr>
          <w:fldChar w:fldCharType="begin"/>
        </w:r>
        <w:r w:rsidR="004A3EE0">
          <w:rPr>
            <w:webHidden/>
          </w:rPr>
          <w:instrText xml:space="preserve"> PAGEREF _Toc31967329 \h </w:instrText>
        </w:r>
        <w:r w:rsidR="004A3EE0">
          <w:rPr>
            <w:webHidden/>
          </w:rPr>
        </w:r>
        <w:r w:rsidR="004A3EE0">
          <w:rPr>
            <w:webHidden/>
          </w:rPr>
          <w:fldChar w:fldCharType="separate"/>
        </w:r>
        <w:r w:rsidR="004A3EE0">
          <w:rPr>
            <w:webHidden/>
          </w:rPr>
          <w:t>18</w:t>
        </w:r>
        <w:r w:rsidR="004A3EE0">
          <w:rPr>
            <w:webHidden/>
          </w:rPr>
          <w:fldChar w:fldCharType="end"/>
        </w:r>
      </w:hyperlink>
    </w:p>
    <w:p w14:paraId="7511B777" w14:textId="426E1414" w:rsidR="004A3EE0" w:rsidRDefault="001E67B9">
      <w:pPr>
        <w:pStyle w:val="TOC1"/>
        <w:rPr>
          <w:rFonts w:asciiTheme="minorHAnsi" w:eastAsiaTheme="minorEastAsia" w:hAnsiTheme="minorHAnsi" w:cstheme="minorBidi"/>
          <w:b w:val="0"/>
          <w:color w:val="auto"/>
        </w:rPr>
      </w:pPr>
      <w:hyperlink w:anchor="_Toc31967330" w:history="1">
        <w:r w:rsidR="004A3EE0" w:rsidRPr="00C32DEE">
          <w:rPr>
            <w:rStyle w:val="Hyperlink"/>
          </w:rPr>
          <w:t>Notes – Policy references</w:t>
        </w:r>
        <w:r w:rsidR="004A3EE0">
          <w:rPr>
            <w:webHidden/>
          </w:rPr>
          <w:tab/>
        </w:r>
        <w:r w:rsidR="004A3EE0">
          <w:rPr>
            <w:webHidden/>
          </w:rPr>
          <w:fldChar w:fldCharType="begin"/>
        </w:r>
        <w:r w:rsidR="004A3EE0">
          <w:rPr>
            <w:webHidden/>
          </w:rPr>
          <w:instrText xml:space="preserve"> PAGEREF _Toc31967330 \h </w:instrText>
        </w:r>
        <w:r w:rsidR="004A3EE0">
          <w:rPr>
            <w:webHidden/>
          </w:rPr>
        </w:r>
        <w:r w:rsidR="004A3EE0">
          <w:rPr>
            <w:webHidden/>
          </w:rPr>
          <w:fldChar w:fldCharType="separate"/>
        </w:r>
        <w:r w:rsidR="004A3EE0">
          <w:rPr>
            <w:webHidden/>
          </w:rPr>
          <w:t>19</w:t>
        </w:r>
        <w:r w:rsidR="004A3EE0">
          <w:rPr>
            <w:webHidden/>
          </w:rPr>
          <w:fldChar w:fldCharType="end"/>
        </w:r>
      </w:hyperlink>
    </w:p>
    <w:p w14:paraId="6A5C97BB" w14:textId="17370073" w:rsidR="00254D20" w:rsidRDefault="000E0B74" w:rsidP="00296283">
      <w:pPr>
        <w:tabs>
          <w:tab w:val="left" w:pos="7686"/>
        </w:tabs>
      </w:pPr>
      <w:r>
        <w:fldChar w:fldCharType="end"/>
      </w:r>
      <w:bookmarkStart w:id="2" w:name="_Toc432067103"/>
      <w:bookmarkStart w:id="3" w:name="_Toc452635030"/>
    </w:p>
    <w:p w14:paraId="6A5C97BC" w14:textId="109031DF" w:rsidR="00251099" w:rsidRDefault="00251099" w:rsidP="00E712D3"/>
    <w:p w14:paraId="06D5DF34" w14:textId="2AA1B251" w:rsidR="00251099" w:rsidRDefault="00251099" w:rsidP="00251099">
      <w:pPr>
        <w:jc w:val="center"/>
      </w:pPr>
    </w:p>
    <w:p w14:paraId="18429D61" w14:textId="4C1BDE4D" w:rsidR="00B37C6C" w:rsidRPr="00251099" w:rsidRDefault="00251099" w:rsidP="00251099">
      <w:pPr>
        <w:tabs>
          <w:tab w:val="center" w:pos="4819"/>
        </w:tabs>
        <w:sectPr w:rsidR="00B37C6C" w:rsidRPr="00251099" w:rsidSect="00D5404B">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985" w:left="1134" w:header="709" w:footer="1134" w:gutter="0"/>
          <w:cols w:space="708"/>
          <w:docGrid w:linePitch="360"/>
        </w:sectPr>
      </w:pPr>
      <w:r>
        <w:tab/>
      </w:r>
    </w:p>
    <w:p w14:paraId="4E0E7EEC" w14:textId="732465D9" w:rsidR="00754A10" w:rsidRPr="004415EA" w:rsidRDefault="00754A10" w:rsidP="00754A10">
      <w:pPr>
        <w:pStyle w:val="Heading1"/>
        <w:spacing w:before="0"/>
      </w:pPr>
      <w:bookmarkStart w:id="4" w:name="_Toc31967322"/>
      <w:bookmarkEnd w:id="2"/>
      <w:bookmarkEnd w:id="3"/>
      <w:r w:rsidRPr="004415EA">
        <w:lastRenderedPageBreak/>
        <w:t>Reform directions</w:t>
      </w:r>
      <w:r>
        <w:t xml:space="preserve"> for the </w:t>
      </w:r>
      <w:r w:rsidR="009D68A7">
        <w:t xml:space="preserve">capital gains tax </w:t>
      </w:r>
      <w:r>
        <w:t>roll-over rules</w:t>
      </w:r>
      <w:bookmarkEnd w:id="4"/>
    </w:p>
    <w:p w14:paraId="064E2D34" w14:textId="52B87671" w:rsidR="00D56192" w:rsidRDefault="00754A10" w:rsidP="00754A10">
      <w:pPr>
        <w:pStyle w:val="Introductionparagraph"/>
        <w:spacing w:after="60"/>
      </w:pPr>
      <w:r>
        <w:t>T</w:t>
      </w:r>
      <w:r w:rsidRPr="005044AB">
        <w:t>he Board of Taxation (Board) is conducting a</w:t>
      </w:r>
      <w:r>
        <w:t xml:space="preserve"> </w:t>
      </w:r>
      <w:r w:rsidRPr="005044AB">
        <w:t xml:space="preserve">review of </w:t>
      </w:r>
      <w:r>
        <w:t xml:space="preserve">the </w:t>
      </w:r>
      <w:r w:rsidR="005835D9">
        <w:t xml:space="preserve">capital gains tax </w:t>
      </w:r>
      <w:r w:rsidR="009D68A7">
        <w:t xml:space="preserve">(CGT) </w:t>
      </w:r>
      <w:r w:rsidR="005835D9">
        <w:t>roll-over</w:t>
      </w:r>
      <w:r w:rsidR="00692D21">
        <w:t xml:space="preserve"> rule</w:t>
      </w:r>
      <w:r>
        <w:t>s</w:t>
      </w:r>
      <w:r w:rsidRPr="005044AB">
        <w:t>.</w:t>
      </w:r>
      <w:r w:rsidR="00594E31">
        <w:t xml:space="preserve"> </w:t>
      </w:r>
      <w:r w:rsidRPr="005044AB">
        <w:t xml:space="preserve">The </w:t>
      </w:r>
      <w:r w:rsidR="00911C00">
        <w:t>terms of reference for t</w:t>
      </w:r>
      <w:r w:rsidR="0048525C">
        <w:t>his review are set out on page 1</w:t>
      </w:r>
      <w:r w:rsidR="006A10AD">
        <w:t>5</w:t>
      </w:r>
      <w:r w:rsidR="00911C00">
        <w:t xml:space="preserve"> and </w:t>
      </w:r>
      <w:r w:rsidR="00D56192">
        <w:t>request the Board to</w:t>
      </w:r>
      <w:r w:rsidR="00D56192" w:rsidRPr="005044AB">
        <w:t xml:space="preserve"> </w:t>
      </w:r>
      <w:r>
        <w:t>identify and evaluat</w:t>
      </w:r>
      <w:r w:rsidR="00D56192">
        <w:t>e</w:t>
      </w:r>
      <w:r>
        <w:t xml:space="preserve"> opportunities to rationalise the existing </w:t>
      </w:r>
      <w:r w:rsidR="00FD2AA9">
        <w:t>CGT</w:t>
      </w:r>
      <w:r>
        <w:t xml:space="preserve"> roll-overs and their associated provisions into a simplified</w:t>
      </w:r>
      <w:r w:rsidR="00FD2AA9">
        <w:t xml:space="preserve"> set that have substantially similar practical effect, but are easier to use and interpret</w:t>
      </w:r>
      <w:r>
        <w:t>.</w:t>
      </w:r>
      <w:r w:rsidR="00DF74D8">
        <w:t xml:space="preserve"> </w:t>
      </w:r>
      <w:r w:rsidR="00D56192">
        <w:t>In doing so, the Board should have regard to the two main categories of roll-overs, namely, roll</w:t>
      </w:r>
      <w:r w:rsidR="00845329">
        <w:t>-</w:t>
      </w:r>
      <w:r w:rsidR="00D56192">
        <w:t>overs where there is no change in underlying economic ownership and roll</w:t>
      </w:r>
      <w:r w:rsidR="00845329">
        <w:t>-</w:t>
      </w:r>
      <w:r w:rsidR="00D56192">
        <w:t>overs where the disposal is involuntary.</w:t>
      </w:r>
      <w:r w:rsidRPr="005044AB">
        <w:t xml:space="preserve"> </w:t>
      </w:r>
      <w:r w:rsidR="00AA42E3">
        <w:t>It</w:t>
      </w:r>
      <w:r w:rsidR="005835D9">
        <w:t xml:space="preserve"> will also consider whether there would be benefit in providing additional categories of roll-overs. </w:t>
      </w:r>
    </w:p>
    <w:p w14:paraId="1D27F196" w14:textId="57DAF74D" w:rsidR="00754A10" w:rsidRPr="00375A84" w:rsidRDefault="00754A10" w:rsidP="00754A10">
      <w:pPr>
        <w:pStyle w:val="Introductionparagraph"/>
        <w:spacing w:after="60"/>
      </w:pPr>
      <w:r w:rsidRPr="005044AB">
        <w:t xml:space="preserve">This Consultation Guide explains how </w:t>
      </w:r>
      <w:r>
        <w:t>interested parties</w:t>
      </w:r>
      <w:r w:rsidRPr="005044AB">
        <w:t xml:space="preserve"> can take part in the Board’s review.</w:t>
      </w:r>
    </w:p>
    <w:p w14:paraId="206BD6C5" w14:textId="63C3F62C" w:rsidR="00754A10" w:rsidRDefault="005835D9" w:rsidP="00754A10">
      <w:pPr>
        <w:rPr>
          <w:rFonts w:cs="Arial"/>
        </w:rPr>
      </w:pPr>
      <w:r>
        <w:t>Roll-over treatment</w:t>
      </w:r>
      <w:r w:rsidR="00594E31">
        <w:t xml:space="preserve"> provide</w:t>
      </w:r>
      <w:r>
        <w:t>s</w:t>
      </w:r>
      <w:r w:rsidR="00594E31">
        <w:t xml:space="preserve"> temporary relief to taxpayers by enabling them to defer payment of </w:t>
      </w:r>
      <w:r w:rsidR="00A878FE">
        <w:t>CGT</w:t>
      </w:r>
      <w:r w:rsidR="00594E31">
        <w:t xml:space="preserve"> to </w:t>
      </w:r>
      <w:r w:rsidR="00692D21">
        <w:t xml:space="preserve">until the ultimate </w:t>
      </w:r>
      <w:r w:rsidR="00DD0A51">
        <w:t>disposal</w:t>
      </w:r>
      <w:r w:rsidR="00692D21">
        <w:t xml:space="preserve"> of the asset</w:t>
      </w:r>
      <w:r w:rsidR="00594E31">
        <w:t xml:space="preserve">. </w:t>
      </w:r>
      <w:r w:rsidR="00594E31" w:rsidRPr="005044AB">
        <w:t xml:space="preserve"> </w:t>
      </w:r>
      <w:r w:rsidR="00A878FE">
        <w:t>Roll-overs</w:t>
      </w:r>
      <w:r w:rsidR="00754A10">
        <w:rPr>
          <w:rFonts w:cs="Arial"/>
        </w:rPr>
        <w:t xml:space="preserve"> have been a feature of Australia’s </w:t>
      </w:r>
      <w:r w:rsidR="00594E31">
        <w:rPr>
          <w:rFonts w:cs="Arial"/>
        </w:rPr>
        <w:t xml:space="preserve">CGT regime since its inception, </w:t>
      </w:r>
      <w:r w:rsidR="00754A10">
        <w:rPr>
          <w:rFonts w:cs="Arial"/>
        </w:rPr>
        <w:t xml:space="preserve">originally </w:t>
      </w:r>
      <w:r w:rsidR="00594E31">
        <w:rPr>
          <w:rFonts w:cs="Arial"/>
        </w:rPr>
        <w:t>applying</w:t>
      </w:r>
      <w:r w:rsidR="00754A10">
        <w:rPr>
          <w:rFonts w:cs="Arial"/>
        </w:rPr>
        <w:t xml:space="preserve"> in cases of compensation for the compulsory acquisition of assets and stolen or destroyed property, and for </w:t>
      </w:r>
      <w:r w:rsidR="00AC503D">
        <w:rPr>
          <w:rFonts w:cs="Arial"/>
        </w:rPr>
        <w:t>specified</w:t>
      </w:r>
      <w:r w:rsidR="00754A10">
        <w:rPr>
          <w:rFonts w:cs="Arial"/>
        </w:rPr>
        <w:t xml:space="preserve"> business reorganisation</w:t>
      </w:r>
      <w:r w:rsidR="00AC503D">
        <w:rPr>
          <w:rFonts w:cs="Arial"/>
        </w:rPr>
        <w:t>s involving no change in underlying economic ownership</w:t>
      </w:r>
      <w:r w:rsidR="00754A10">
        <w:rPr>
          <w:rFonts w:cs="Arial"/>
        </w:rPr>
        <w:t>. How</w:t>
      </w:r>
      <w:r w:rsidR="004631C7">
        <w:rPr>
          <w:rFonts w:cs="Arial"/>
        </w:rPr>
        <w:t>ever, over time,</w:t>
      </w:r>
      <w:r w:rsidR="00754A10">
        <w:rPr>
          <w:rFonts w:cs="Arial"/>
        </w:rPr>
        <w:t xml:space="preserve"> tax law provisions catering for these circumstances have </w:t>
      </w:r>
      <w:r w:rsidR="00D533E0">
        <w:rPr>
          <w:rFonts w:cs="Arial"/>
        </w:rPr>
        <w:t>proliferated</w:t>
      </w:r>
      <w:r w:rsidR="00754A10">
        <w:rPr>
          <w:rFonts w:cs="Arial"/>
        </w:rPr>
        <w:t xml:space="preserve"> to the point </w:t>
      </w:r>
      <w:r w:rsidR="00D533E0">
        <w:rPr>
          <w:rFonts w:cs="Arial"/>
        </w:rPr>
        <w:t>where</w:t>
      </w:r>
      <w:r w:rsidR="00754A10">
        <w:rPr>
          <w:rFonts w:cs="Arial"/>
        </w:rPr>
        <w:t xml:space="preserve"> navigating the law is difficult.</w:t>
      </w:r>
      <w:r w:rsidR="004631C7">
        <w:rPr>
          <w:rFonts w:cs="Arial"/>
        </w:rPr>
        <w:t xml:space="preserve"> In </w:t>
      </w:r>
      <w:r w:rsidR="00D533E0">
        <w:rPr>
          <w:rFonts w:cs="Arial"/>
        </w:rPr>
        <w:t>addition</w:t>
      </w:r>
      <w:r w:rsidR="004631C7">
        <w:rPr>
          <w:rFonts w:cs="Arial"/>
        </w:rPr>
        <w:t xml:space="preserve">, </w:t>
      </w:r>
      <w:r w:rsidR="00C750A3">
        <w:rPr>
          <w:rFonts w:cs="Arial"/>
        </w:rPr>
        <w:t xml:space="preserve">it is not always clear how </w:t>
      </w:r>
      <w:r w:rsidR="004631C7">
        <w:rPr>
          <w:rFonts w:cs="Arial"/>
        </w:rPr>
        <w:t xml:space="preserve">the policy </w:t>
      </w:r>
      <w:r w:rsidR="00D533E0">
        <w:rPr>
          <w:rFonts w:cs="Arial"/>
        </w:rPr>
        <w:t xml:space="preserve">principles underpinning </w:t>
      </w:r>
      <w:r w:rsidR="0073768D">
        <w:rPr>
          <w:rFonts w:cs="Arial"/>
        </w:rPr>
        <w:t xml:space="preserve">certain </w:t>
      </w:r>
      <w:r w:rsidR="00D533E0">
        <w:rPr>
          <w:rFonts w:cs="Arial"/>
        </w:rPr>
        <w:t xml:space="preserve">roll-overs </w:t>
      </w:r>
      <w:r w:rsidR="00C750A3">
        <w:rPr>
          <w:rFonts w:cs="Arial"/>
        </w:rPr>
        <w:t xml:space="preserve">apply to </w:t>
      </w:r>
      <w:r w:rsidR="00DD0A51">
        <w:rPr>
          <w:rFonts w:cs="Arial"/>
        </w:rPr>
        <w:t xml:space="preserve">contemporary </w:t>
      </w:r>
      <w:r w:rsidR="00C750A3">
        <w:rPr>
          <w:rFonts w:cs="Arial"/>
        </w:rPr>
        <w:t>transactions</w:t>
      </w:r>
      <w:r w:rsidR="004631C7">
        <w:rPr>
          <w:rFonts w:cs="Arial"/>
        </w:rPr>
        <w:t>, such that significant taxpayer and ATO resources are directed at disputin</w:t>
      </w:r>
      <w:r w:rsidR="00D533E0">
        <w:rPr>
          <w:rFonts w:cs="Arial"/>
        </w:rPr>
        <w:t xml:space="preserve">g the proper bounds of roll-over provisions. </w:t>
      </w:r>
    </w:p>
    <w:p w14:paraId="237DF298" w14:textId="2BE9997D" w:rsidR="001B4197" w:rsidRDefault="001B4197" w:rsidP="00754A10">
      <w:pPr>
        <w:rPr>
          <w:rFonts w:cs="Arial"/>
        </w:rPr>
      </w:pPr>
      <w:r w:rsidRPr="00341113">
        <w:rPr>
          <w:rFonts w:cs="Arial"/>
        </w:rPr>
        <w:t>Stakeholders concerns</w:t>
      </w:r>
      <w:r>
        <w:rPr>
          <w:rFonts w:cs="Arial"/>
        </w:rPr>
        <w:t xml:space="preserve"> include the following:</w:t>
      </w:r>
    </w:p>
    <w:p w14:paraId="15126A77" w14:textId="77777777" w:rsidR="001B4197" w:rsidRDefault="001B4197" w:rsidP="001B4197">
      <w:pPr>
        <w:pStyle w:val="ListParagraph"/>
        <w:numPr>
          <w:ilvl w:val="0"/>
          <w:numId w:val="15"/>
        </w:numPr>
        <w:rPr>
          <w:rFonts w:cs="Arial"/>
        </w:rPr>
      </w:pPr>
      <w:r>
        <w:rPr>
          <w:rFonts w:cs="Arial"/>
        </w:rPr>
        <w:t>Roll-overs are sometimes more difficult to navigate and access than they need to be. There is too much red tape and, accordingly, a high cost of compliance.</w:t>
      </w:r>
    </w:p>
    <w:p w14:paraId="53A3CF80" w14:textId="2C9EF78F" w:rsidR="001B4197" w:rsidRDefault="001B4197" w:rsidP="001B4197">
      <w:pPr>
        <w:pStyle w:val="ListParagraph"/>
        <w:numPr>
          <w:ilvl w:val="0"/>
          <w:numId w:val="15"/>
        </w:numPr>
        <w:rPr>
          <w:rFonts w:cs="Arial"/>
        </w:rPr>
      </w:pPr>
      <w:r>
        <w:rPr>
          <w:rFonts w:cs="Arial"/>
        </w:rPr>
        <w:t>Roll-overs do</w:t>
      </w:r>
      <w:r w:rsidR="00CB3222">
        <w:rPr>
          <w:rFonts w:cs="Arial"/>
        </w:rPr>
        <w:t xml:space="preserve"> not</w:t>
      </w:r>
      <w:r>
        <w:rPr>
          <w:rFonts w:cs="Arial"/>
        </w:rPr>
        <w:t xml:space="preserve"> always apply in the way they should. For example, there </w:t>
      </w:r>
      <w:r w:rsidR="00341113">
        <w:rPr>
          <w:rFonts w:cs="Arial"/>
        </w:rPr>
        <w:t xml:space="preserve">can be </w:t>
      </w:r>
      <w:r>
        <w:rPr>
          <w:rFonts w:cs="Arial"/>
        </w:rPr>
        <w:t xml:space="preserve">anomalous outcomes even when </w:t>
      </w:r>
      <w:r w:rsidR="0073768D">
        <w:rPr>
          <w:rFonts w:cs="Arial"/>
        </w:rPr>
        <w:t xml:space="preserve">a </w:t>
      </w:r>
      <w:r>
        <w:rPr>
          <w:rFonts w:cs="Arial"/>
        </w:rPr>
        <w:t>roll-over is available.</w:t>
      </w:r>
    </w:p>
    <w:p w14:paraId="3B0A9B30" w14:textId="5C10B659" w:rsidR="00341113" w:rsidRDefault="001B4197" w:rsidP="00341113">
      <w:pPr>
        <w:pStyle w:val="ListParagraph"/>
        <w:numPr>
          <w:ilvl w:val="0"/>
          <w:numId w:val="15"/>
        </w:numPr>
        <w:rPr>
          <w:rFonts w:cs="Arial"/>
        </w:rPr>
      </w:pPr>
      <w:r>
        <w:rPr>
          <w:rFonts w:cs="Arial"/>
        </w:rPr>
        <w:t xml:space="preserve">There are certain situations for which </w:t>
      </w:r>
      <w:r w:rsidR="00341113">
        <w:rPr>
          <w:rFonts w:cs="Arial"/>
        </w:rPr>
        <w:t xml:space="preserve">stakeholders believe </w:t>
      </w:r>
      <w:r>
        <w:rPr>
          <w:rFonts w:cs="Arial"/>
        </w:rPr>
        <w:t xml:space="preserve">roll-over should be available but </w:t>
      </w:r>
      <w:r w:rsidR="00341113">
        <w:rPr>
          <w:rFonts w:cs="Arial"/>
        </w:rPr>
        <w:t xml:space="preserve">it </w:t>
      </w:r>
      <w:r>
        <w:rPr>
          <w:rFonts w:cs="Arial"/>
        </w:rPr>
        <w:t>is not (or is available</w:t>
      </w:r>
      <w:r w:rsidR="0047075F">
        <w:rPr>
          <w:rFonts w:cs="Arial"/>
        </w:rPr>
        <w:t>, but only through a series of roll-overs</w:t>
      </w:r>
      <w:r>
        <w:rPr>
          <w:rFonts w:cs="Arial"/>
        </w:rPr>
        <w:t xml:space="preserve"> </w:t>
      </w:r>
      <w:r w:rsidR="0047075F">
        <w:rPr>
          <w:rFonts w:cs="Arial"/>
        </w:rPr>
        <w:t xml:space="preserve">which </w:t>
      </w:r>
      <w:r w:rsidR="00341113">
        <w:rPr>
          <w:rFonts w:cs="Arial"/>
        </w:rPr>
        <w:t xml:space="preserve">increases complexity and cost, and creates uncertainty around the application of </w:t>
      </w:r>
      <w:r>
        <w:rPr>
          <w:rFonts w:cs="Arial"/>
        </w:rPr>
        <w:t>the general anti-avoidance provisions</w:t>
      </w:r>
      <w:r w:rsidR="00722C51">
        <w:rPr>
          <w:rFonts w:cs="Arial"/>
        </w:rPr>
        <w:t xml:space="preserve">). </w:t>
      </w:r>
    </w:p>
    <w:p w14:paraId="375ED907" w14:textId="08305F2F" w:rsidR="00722C51" w:rsidRDefault="00341113" w:rsidP="00341113">
      <w:pPr>
        <w:pStyle w:val="ListParagraph"/>
        <w:numPr>
          <w:ilvl w:val="0"/>
          <w:numId w:val="15"/>
        </w:numPr>
        <w:rPr>
          <w:rFonts w:cs="Arial"/>
        </w:rPr>
      </w:pPr>
      <w:r>
        <w:rPr>
          <w:rFonts w:cs="Arial"/>
        </w:rPr>
        <w:t>T</w:t>
      </w:r>
      <w:r w:rsidR="00722C51">
        <w:rPr>
          <w:rFonts w:cs="Arial"/>
        </w:rPr>
        <w:t xml:space="preserve">here are other CGT provisions that are not regarded as roll-overs but arguably could be incorporated into a coherent roll-over regime. For example, consequences of death and the merging or splitting of capital assets. </w:t>
      </w:r>
    </w:p>
    <w:p w14:paraId="7A86E706" w14:textId="3E394D7F" w:rsidR="00754A10" w:rsidRDefault="00754A10" w:rsidP="00754A10">
      <w:pPr>
        <w:rPr>
          <w:rFonts w:cs="Arial"/>
        </w:rPr>
      </w:pPr>
      <w:r w:rsidRPr="00090A79">
        <w:rPr>
          <w:rFonts w:cs="Arial"/>
        </w:rPr>
        <w:t>T</w:t>
      </w:r>
      <w:r w:rsidR="00A403FE">
        <w:rPr>
          <w:rFonts w:cs="Arial"/>
        </w:rPr>
        <w:t>his consultation g</w:t>
      </w:r>
      <w:r w:rsidRPr="00090A79">
        <w:rPr>
          <w:rFonts w:cs="Arial"/>
        </w:rPr>
        <w:t xml:space="preserve">uide sets out the current suite of </w:t>
      </w:r>
      <w:r w:rsidR="004631C7">
        <w:rPr>
          <w:rFonts w:cs="Arial"/>
        </w:rPr>
        <w:t>roll-overs</w:t>
      </w:r>
      <w:r w:rsidRPr="00090A79">
        <w:rPr>
          <w:rFonts w:cs="Arial"/>
        </w:rPr>
        <w:t xml:space="preserve"> </w:t>
      </w:r>
      <w:r>
        <w:rPr>
          <w:rFonts w:cs="Arial"/>
        </w:rPr>
        <w:t>and</w:t>
      </w:r>
      <w:r w:rsidRPr="00090A79">
        <w:rPr>
          <w:rFonts w:cs="Arial"/>
        </w:rPr>
        <w:t xml:space="preserve"> the </w:t>
      </w:r>
      <w:r w:rsidR="008D07F4">
        <w:rPr>
          <w:rFonts w:cs="Arial"/>
        </w:rPr>
        <w:t>policy considerations that are central to</w:t>
      </w:r>
      <w:r w:rsidRPr="00090A79">
        <w:rPr>
          <w:rFonts w:cs="Arial"/>
        </w:rPr>
        <w:t xml:space="preserve"> evaluating an</w:t>
      </w:r>
      <w:r w:rsidR="004631C7">
        <w:rPr>
          <w:rFonts w:cs="Arial"/>
        </w:rPr>
        <w:t>d improving the framework of roll-over</w:t>
      </w:r>
      <w:r w:rsidRPr="00090A79">
        <w:rPr>
          <w:rFonts w:cs="Arial"/>
        </w:rPr>
        <w:t xml:space="preserve"> relief. It also </w:t>
      </w:r>
      <w:r>
        <w:rPr>
          <w:rFonts w:cs="Arial"/>
        </w:rPr>
        <w:t xml:space="preserve">poses questions for </w:t>
      </w:r>
      <w:r w:rsidR="004631C7">
        <w:rPr>
          <w:rFonts w:cs="Arial"/>
        </w:rPr>
        <w:t>interested partie</w:t>
      </w:r>
      <w:r>
        <w:rPr>
          <w:rFonts w:cs="Arial"/>
        </w:rPr>
        <w:t>s to think about when formulating their input to the review.</w:t>
      </w:r>
    </w:p>
    <w:p w14:paraId="6A5C97C5" w14:textId="04634798" w:rsidR="005044AB" w:rsidRDefault="00754A10" w:rsidP="00754A10">
      <w:pPr>
        <w:rPr>
          <w:rFonts w:cs="Arial"/>
        </w:rPr>
      </w:pPr>
      <w:r>
        <w:rPr>
          <w:rFonts w:cs="Arial"/>
        </w:rPr>
        <w:t>Most importantly</w:t>
      </w:r>
      <w:r w:rsidRPr="00090A79">
        <w:rPr>
          <w:rFonts w:cs="Arial"/>
        </w:rPr>
        <w:t xml:space="preserve">, </w:t>
      </w:r>
      <w:r>
        <w:rPr>
          <w:rFonts w:cs="Arial"/>
        </w:rPr>
        <w:t xml:space="preserve">this guide explains our consultation process </w:t>
      </w:r>
      <w:r w:rsidR="00A403FE">
        <w:rPr>
          <w:rFonts w:cs="Arial"/>
        </w:rPr>
        <w:t xml:space="preserve">over the course of 2020 </w:t>
      </w:r>
      <w:r>
        <w:rPr>
          <w:rFonts w:cs="Arial"/>
        </w:rPr>
        <w:t>and the Board invites</w:t>
      </w:r>
      <w:r w:rsidR="004631C7">
        <w:rPr>
          <w:rFonts w:cs="Arial"/>
        </w:rPr>
        <w:t xml:space="preserve"> the broader community t</w:t>
      </w:r>
      <w:r>
        <w:rPr>
          <w:rFonts w:cs="Arial"/>
        </w:rPr>
        <w:t xml:space="preserve">o actively contribute to designing </w:t>
      </w:r>
      <w:r w:rsidRPr="00090A79">
        <w:rPr>
          <w:rFonts w:cs="Arial"/>
        </w:rPr>
        <w:t>a</w:t>
      </w:r>
      <w:r w:rsidR="008D07F4">
        <w:rPr>
          <w:rFonts w:cs="Arial"/>
        </w:rPr>
        <w:t xml:space="preserve"> </w:t>
      </w:r>
      <w:r w:rsidR="0073768D">
        <w:rPr>
          <w:rFonts w:cs="Arial"/>
        </w:rPr>
        <w:t>coherent</w:t>
      </w:r>
      <w:r w:rsidR="00E040A3">
        <w:rPr>
          <w:rFonts w:cs="Arial"/>
        </w:rPr>
        <w:t xml:space="preserve"> principle-based roll-over regime</w:t>
      </w:r>
      <w:r>
        <w:rPr>
          <w:rFonts w:cs="Arial"/>
        </w:rPr>
        <w:t>. These contributions will inform the Board’s final advice to</w:t>
      </w:r>
      <w:r w:rsidR="00A70BCE">
        <w:rPr>
          <w:rFonts w:cs="Arial"/>
        </w:rPr>
        <w:t xml:space="preserve"> the</w:t>
      </w:r>
      <w:r>
        <w:rPr>
          <w:rFonts w:cs="Arial"/>
        </w:rPr>
        <w:t xml:space="preserve"> </w:t>
      </w:r>
      <w:r w:rsidR="00A70BCE">
        <w:rPr>
          <w:rFonts w:cs="Arial"/>
        </w:rPr>
        <w:t>Government</w:t>
      </w:r>
      <w:r>
        <w:rPr>
          <w:rFonts w:cs="Arial"/>
        </w:rPr>
        <w:t>.</w:t>
      </w:r>
      <w:r w:rsidR="005044AB">
        <w:rPr>
          <w:rFonts w:cs="Arial"/>
        </w:rPr>
        <w:br w:type="page"/>
      </w:r>
    </w:p>
    <w:p w14:paraId="3CFE7743" w14:textId="77777777" w:rsidR="00754A10" w:rsidRPr="005044AB" w:rsidRDefault="00754A10" w:rsidP="00754A10">
      <w:pPr>
        <w:pStyle w:val="Heading1"/>
        <w:spacing w:before="0"/>
      </w:pPr>
      <w:bookmarkStart w:id="5" w:name="_Toc31967323"/>
      <w:r w:rsidRPr="005044AB">
        <w:lastRenderedPageBreak/>
        <w:t>Consultation</w:t>
      </w:r>
      <w:bookmarkEnd w:id="5"/>
    </w:p>
    <w:p w14:paraId="09320EA0" w14:textId="454933AD" w:rsidR="00754A10" w:rsidRPr="00296283" w:rsidRDefault="00754A10" w:rsidP="00754A10">
      <w:pPr>
        <w:pStyle w:val="Introductionparagraph"/>
      </w:pPr>
      <w:r w:rsidRPr="003E687D">
        <w:t xml:space="preserve">The </w:t>
      </w:r>
      <w:r w:rsidR="00CB3222">
        <w:t>Board</w:t>
      </w:r>
      <w:r w:rsidRPr="004415EA">
        <w:t xml:space="preserve"> lo</w:t>
      </w:r>
      <w:r>
        <w:t xml:space="preserve">oks forward to working with the community </w:t>
      </w:r>
      <w:r w:rsidRPr="004415EA">
        <w:t xml:space="preserve">in developing the Board’s advice to Government. A </w:t>
      </w:r>
      <w:r>
        <w:t>working group</w:t>
      </w:r>
      <w:r w:rsidRPr="004415EA">
        <w:t xml:space="preserve"> </w:t>
      </w:r>
      <w:r w:rsidR="004C4087">
        <w:t>comprising members from</w:t>
      </w:r>
      <w:r w:rsidR="00CB3222">
        <w:t xml:space="preserve"> the tax profession, </w:t>
      </w:r>
      <w:r w:rsidR="004C4087">
        <w:t>academia</w:t>
      </w:r>
      <w:r w:rsidR="00CB3222">
        <w:t>, Treasury and the ATO</w:t>
      </w:r>
      <w:r w:rsidR="004C4087">
        <w:t xml:space="preserve"> </w:t>
      </w:r>
      <w:r w:rsidRPr="004415EA">
        <w:t>(see Membership</w:t>
      </w:r>
      <w:r w:rsidR="00DD4C95">
        <w:t xml:space="preserve"> on page 17</w:t>
      </w:r>
      <w:r w:rsidRPr="004415EA">
        <w:t>) has been established to guide the project,</w:t>
      </w:r>
      <w:r w:rsidRPr="008F3163">
        <w:t xml:space="preserve"> provide </w:t>
      </w:r>
      <w:r>
        <w:t>expertise</w:t>
      </w:r>
      <w:r w:rsidRPr="008F3163">
        <w:t>,</w:t>
      </w:r>
      <w:r w:rsidR="00A403FE">
        <w:t xml:space="preserve"> and assist </w:t>
      </w:r>
      <w:r w:rsidR="00DC4370">
        <w:t xml:space="preserve">Board members </w:t>
      </w:r>
      <w:r w:rsidR="00A403FE">
        <w:t>with consultations.</w:t>
      </w:r>
    </w:p>
    <w:p w14:paraId="05BC9429" w14:textId="481A3A52" w:rsidR="00754A10" w:rsidRDefault="00754A10" w:rsidP="00EB2D92">
      <w:r>
        <w:t xml:space="preserve">Interested parties may contribute </w:t>
      </w:r>
      <w:r w:rsidR="00284882">
        <w:t xml:space="preserve">to </w:t>
      </w:r>
      <w:r>
        <w:t>the review by participating in one of the consultat</w:t>
      </w:r>
      <w:r w:rsidR="00DA57BA">
        <w:t xml:space="preserve">ion activities conducted by the </w:t>
      </w:r>
      <w:r w:rsidR="007E20BF">
        <w:t xml:space="preserve">working group </w:t>
      </w:r>
      <w:r>
        <w:t xml:space="preserve">or </w:t>
      </w:r>
      <w:r w:rsidR="00DA57BA">
        <w:t xml:space="preserve">through </w:t>
      </w:r>
      <w:r>
        <w:t xml:space="preserve">online submissions. </w:t>
      </w:r>
      <w:r w:rsidR="00DA57BA">
        <w:t>Set out below is</w:t>
      </w:r>
      <w:r>
        <w:t xml:space="preserve"> an indicative timeframe for consultation. Further information will be made available at: </w:t>
      </w:r>
      <w:hyperlink r:id="rId21" w:history="1">
        <w:r w:rsidRPr="006A5F6C">
          <w:rPr>
            <w:rStyle w:val="Hyperlink"/>
          </w:rPr>
          <w:t>www.taxboard.gov.au</w:t>
        </w:r>
      </w:hyperlink>
      <w:r>
        <w:t>.</w:t>
      </w:r>
    </w:p>
    <w:tbl>
      <w:tblPr>
        <w:tblStyle w:val="TableGrid"/>
        <w:tblW w:w="0" w:type="auto"/>
        <w:shd w:val="clear" w:color="auto" w:fill="FFFFFF" w:themeFill="background1"/>
        <w:tblLook w:val="04A0" w:firstRow="1" w:lastRow="0" w:firstColumn="1" w:lastColumn="0" w:noHBand="0" w:noVBand="1"/>
      </w:tblPr>
      <w:tblGrid>
        <w:gridCol w:w="2615"/>
        <w:gridCol w:w="7023"/>
      </w:tblGrid>
      <w:tr w:rsidR="00EB2D92" w:rsidRPr="001852CD" w14:paraId="0EA4D845" w14:textId="77777777" w:rsidTr="00EB2D92">
        <w:tc>
          <w:tcPr>
            <w:tcW w:w="9638" w:type="dxa"/>
            <w:gridSpan w:val="2"/>
            <w:shd w:val="clear" w:color="auto" w:fill="auto"/>
          </w:tcPr>
          <w:p w14:paraId="60B158B4" w14:textId="29435424" w:rsidR="00EB2D92" w:rsidRPr="00540DFB" w:rsidRDefault="005C04DB" w:rsidP="00EB2D92">
            <w:pPr>
              <w:pStyle w:val="TableHeadingContinued"/>
              <w:spacing w:before="0"/>
              <w:jc w:val="left"/>
              <w:rPr>
                <w:sz w:val="24"/>
                <w:szCs w:val="24"/>
              </w:rPr>
            </w:pPr>
            <w:r>
              <w:rPr>
                <w:color w:val="C00000"/>
                <w:sz w:val="32"/>
                <w:szCs w:val="24"/>
              </w:rPr>
              <w:t>Timetable</w:t>
            </w:r>
          </w:p>
        </w:tc>
      </w:tr>
      <w:tr w:rsidR="00EB2D92" w:rsidRPr="001852CD" w14:paraId="1571A5A1" w14:textId="77777777" w:rsidTr="00D80865">
        <w:tc>
          <w:tcPr>
            <w:tcW w:w="2615" w:type="dxa"/>
            <w:shd w:val="clear" w:color="auto" w:fill="D9D9D9" w:themeFill="background1" w:themeFillShade="D9"/>
          </w:tcPr>
          <w:p w14:paraId="46ADE7B3" w14:textId="731EB691" w:rsidR="00EB2D92" w:rsidRDefault="006B6CAA" w:rsidP="00EB2D92">
            <w:pPr>
              <w:pStyle w:val="TableHeadingContinued"/>
              <w:spacing w:before="0"/>
              <w:rPr>
                <w:sz w:val="24"/>
                <w:szCs w:val="24"/>
              </w:rPr>
            </w:pPr>
            <w:r>
              <w:rPr>
                <w:sz w:val="24"/>
                <w:szCs w:val="24"/>
              </w:rPr>
              <w:t>February</w:t>
            </w:r>
            <w:r w:rsidR="00EB2D92" w:rsidRPr="00540DFB">
              <w:rPr>
                <w:sz w:val="24"/>
                <w:szCs w:val="24"/>
              </w:rPr>
              <w:t xml:space="preserve"> 2020</w:t>
            </w:r>
          </w:p>
        </w:tc>
        <w:tc>
          <w:tcPr>
            <w:tcW w:w="7023" w:type="dxa"/>
            <w:shd w:val="clear" w:color="auto" w:fill="D9D9D9" w:themeFill="background1" w:themeFillShade="D9"/>
          </w:tcPr>
          <w:p w14:paraId="189E8C1B" w14:textId="0E5BD8F0" w:rsidR="00EB2D92" w:rsidRPr="00540DFB" w:rsidRDefault="00EB2D92" w:rsidP="00EB2D92">
            <w:pPr>
              <w:pStyle w:val="TableHeadingContinued"/>
              <w:spacing w:before="0"/>
              <w:rPr>
                <w:sz w:val="24"/>
                <w:szCs w:val="24"/>
              </w:rPr>
            </w:pPr>
            <w:r w:rsidRPr="00540DFB">
              <w:rPr>
                <w:sz w:val="24"/>
                <w:szCs w:val="24"/>
              </w:rPr>
              <w:t>Consultation guide – released</w:t>
            </w:r>
          </w:p>
        </w:tc>
      </w:tr>
      <w:tr w:rsidR="00EB2D92" w:rsidRPr="00C33EDC" w14:paraId="61AACF08" w14:textId="77777777" w:rsidTr="00D80865">
        <w:tc>
          <w:tcPr>
            <w:tcW w:w="2615" w:type="dxa"/>
            <w:shd w:val="clear" w:color="auto" w:fill="FFFFFF" w:themeFill="background1"/>
          </w:tcPr>
          <w:p w14:paraId="6509919A" w14:textId="77777777" w:rsidR="00EB2D92" w:rsidRPr="00C33EDC" w:rsidRDefault="00EB2D92" w:rsidP="00EB2D92">
            <w:pPr>
              <w:pStyle w:val="SingleParagraph"/>
            </w:pPr>
          </w:p>
        </w:tc>
        <w:tc>
          <w:tcPr>
            <w:tcW w:w="7023" w:type="dxa"/>
            <w:shd w:val="clear" w:color="auto" w:fill="FFFFFF" w:themeFill="background1"/>
          </w:tcPr>
          <w:p w14:paraId="3B23A62D" w14:textId="5D0AAC2A" w:rsidR="00EB2D92" w:rsidRPr="00C33EDC" w:rsidRDefault="00EB2D92" w:rsidP="004D37AA">
            <w:pPr>
              <w:spacing w:before="60" w:afterLines="30" w:after="72"/>
              <w:jc w:val="left"/>
              <w:rPr>
                <w:b/>
                <w:bCs/>
                <w:color w:val="44546A" w:themeColor="text2"/>
              </w:rPr>
            </w:pPr>
            <w:r w:rsidRPr="00C33EDC">
              <w:rPr>
                <w:sz w:val="22"/>
              </w:rPr>
              <w:t xml:space="preserve">This consultation guide released in </w:t>
            </w:r>
            <w:r>
              <w:rPr>
                <w:sz w:val="22"/>
              </w:rPr>
              <w:t>early February 2020</w:t>
            </w:r>
            <w:r w:rsidRPr="00C33EDC">
              <w:rPr>
                <w:sz w:val="22"/>
              </w:rPr>
              <w:t>.</w:t>
            </w:r>
          </w:p>
        </w:tc>
      </w:tr>
      <w:tr w:rsidR="00EB2D92" w:rsidRPr="001852CD" w14:paraId="40CC6BE2" w14:textId="77777777" w:rsidTr="00D80865">
        <w:tc>
          <w:tcPr>
            <w:tcW w:w="2615" w:type="dxa"/>
            <w:shd w:val="clear" w:color="auto" w:fill="D9D9D9" w:themeFill="background1" w:themeFillShade="D9"/>
          </w:tcPr>
          <w:p w14:paraId="70D55912" w14:textId="77777777" w:rsidR="00EB2D92" w:rsidRPr="00540DFB" w:rsidRDefault="00EB2D92" w:rsidP="00EB2D92">
            <w:pPr>
              <w:pStyle w:val="TableHeadingContinued"/>
              <w:spacing w:before="0"/>
              <w:rPr>
                <w:sz w:val="24"/>
                <w:szCs w:val="24"/>
              </w:rPr>
            </w:pPr>
            <w:r w:rsidRPr="00540DFB">
              <w:rPr>
                <w:sz w:val="24"/>
                <w:szCs w:val="24"/>
              </w:rPr>
              <w:t>February - April 2020</w:t>
            </w:r>
          </w:p>
        </w:tc>
        <w:tc>
          <w:tcPr>
            <w:tcW w:w="7023" w:type="dxa"/>
            <w:shd w:val="clear" w:color="auto" w:fill="D9D9D9" w:themeFill="background1" w:themeFillShade="D9"/>
          </w:tcPr>
          <w:p w14:paraId="43C6E859"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Consultation roundtables</w:t>
            </w:r>
          </w:p>
        </w:tc>
      </w:tr>
      <w:tr w:rsidR="00EB2D92" w:rsidRPr="00C33EDC" w14:paraId="576E9348" w14:textId="77777777" w:rsidTr="00D80865">
        <w:tc>
          <w:tcPr>
            <w:tcW w:w="2615" w:type="dxa"/>
            <w:shd w:val="clear" w:color="auto" w:fill="FFFFFF" w:themeFill="background1"/>
          </w:tcPr>
          <w:p w14:paraId="7D5396DD" w14:textId="77777777" w:rsidR="00EB2D92" w:rsidRPr="00C33EDC" w:rsidRDefault="00EB2D92" w:rsidP="00EB2D92">
            <w:pPr>
              <w:pStyle w:val="SingleParagraph"/>
            </w:pPr>
          </w:p>
        </w:tc>
        <w:tc>
          <w:tcPr>
            <w:tcW w:w="7023" w:type="dxa"/>
            <w:shd w:val="clear" w:color="auto" w:fill="FFFFFF" w:themeFill="background1"/>
          </w:tcPr>
          <w:p w14:paraId="1489B8E3" w14:textId="1148FA40" w:rsidR="00EB2D92" w:rsidRDefault="00EB2D92" w:rsidP="00EB2D92">
            <w:pPr>
              <w:spacing w:before="60" w:after="60"/>
              <w:jc w:val="left"/>
              <w:rPr>
                <w:sz w:val="22"/>
                <w:szCs w:val="22"/>
              </w:rPr>
            </w:pPr>
            <w:r w:rsidRPr="00C33EDC">
              <w:rPr>
                <w:sz w:val="22"/>
                <w:szCs w:val="22"/>
              </w:rPr>
              <w:t xml:space="preserve">The </w:t>
            </w:r>
            <w:r>
              <w:rPr>
                <w:sz w:val="22"/>
                <w:szCs w:val="22"/>
              </w:rPr>
              <w:t>working group will</w:t>
            </w:r>
            <w:r w:rsidRPr="00C33EDC">
              <w:rPr>
                <w:sz w:val="22"/>
                <w:szCs w:val="22"/>
              </w:rPr>
              <w:t xml:space="preserve"> </w:t>
            </w:r>
            <w:r>
              <w:rPr>
                <w:sz w:val="22"/>
                <w:szCs w:val="22"/>
              </w:rPr>
              <w:t>hold a series of</w:t>
            </w:r>
            <w:r w:rsidRPr="00C33EDC">
              <w:rPr>
                <w:sz w:val="22"/>
                <w:szCs w:val="22"/>
              </w:rPr>
              <w:t xml:space="preserve"> roundtable meetings to assist in identifying all relevant issues with the current suite of CGT roll-overs</w:t>
            </w:r>
            <w:r>
              <w:rPr>
                <w:sz w:val="22"/>
                <w:szCs w:val="22"/>
              </w:rPr>
              <w:t xml:space="preserve"> and test options</w:t>
            </w:r>
            <w:r w:rsidRPr="00C33EDC">
              <w:rPr>
                <w:sz w:val="22"/>
                <w:szCs w:val="22"/>
              </w:rPr>
              <w:t xml:space="preserve">. The Board invites interested stakeholders to register their interest </w:t>
            </w:r>
            <w:r>
              <w:rPr>
                <w:sz w:val="22"/>
                <w:szCs w:val="22"/>
              </w:rPr>
              <w:t>in</w:t>
            </w:r>
            <w:r w:rsidRPr="00C33EDC">
              <w:rPr>
                <w:sz w:val="22"/>
                <w:szCs w:val="22"/>
              </w:rPr>
              <w:t xml:space="preserve"> participat</w:t>
            </w:r>
            <w:r>
              <w:rPr>
                <w:sz w:val="22"/>
                <w:szCs w:val="22"/>
              </w:rPr>
              <w:t xml:space="preserve">ing on the following dates: </w:t>
            </w:r>
          </w:p>
          <w:p w14:paraId="712118E7" w14:textId="4042BFF4" w:rsidR="00EB2D92" w:rsidRPr="00D80865" w:rsidRDefault="00EB2D92" w:rsidP="00EB2D92">
            <w:pPr>
              <w:pStyle w:val="ListParagraph"/>
              <w:numPr>
                <w:ilvl w:val="0"/>
                <w:numId w:val="18"/>
              </w:numPr>
              <w:spacing w:before="60" w:after="60"/>
              <w:ind w:left="714" w:hanging="357"/>
              <w:rPr>
                <w:sz w:val="22"/>
              </w:rPr>
            </w:pPr>
            <w:r w:rsidRPr="00D80865">
              <w:rPr>
                <w:sz w:val="22"/>
              </w:rPr>
              <w:t>Melbourne – Thursday 20 February 2020</w:t>
            </w:r>
          </w:p>
          <w:p w14:paraId="5BCAD13A" w14:textId="55B48ABB" w:rsidR="00EB2D92" w:rsidRDefault="00EB2D92" w:rsidP="00EB2D92">
            <w:pPr>
              <w:pStyle w:val="ListParagraph"/>
              <w:numPr>
                <w:ilvl w:val="0"/>
                <w:numId w:val="18"/>
              </w:numPr>
              <w:spacing w:before="60" w:after="60"/>
              <w:rPr>
                <w:sz w:val="22"/>
              </w:rPr>
            </w:pPr>
            <w:r w:rsidRPr="00D80865">
              <w:rPr>
                <w:sz w:val="22"/>
              </w:rPr>
              <w:t xml:space="preserve">Sydney </w:t>
            </w:r>
            <w:r>
              <w:rPr>
                <w:sz w:val="22"/>
              </w:rPr>
              <w:t xml:space="preserve">– </w:t>
            </w:r>
            <w:r w:rsidRPr="00D80865">
              <w:rPr>
                <w:sz w:val="22"/>
              </w:rPr>
              <w:t>Thursday 26 March 2020</w:t>
            </w:r>
          </w:p>
          <w:p w14:paraId="12C54571" w14:textId="42DE5BCE" w:rsidR="00EB2D92" w:rsidRPr="001E67B9" w:rsidRDefault="00EB2D92" w:rsidP="00EB2D92">
            <w:pPr>
              <w:pStyle w:val="ListParagraph"/>
              <w:numPr>
                <w:ilvl w:val="0"/>
                <w:numId w:val="18"/>
              </w:numPr>
              <w:spacing w:before="60" w:after="60"/>
              <w:rPr>
                <w:sz w:val="22"/>
              </w:rPr>
            </w:pPr>
            <w:r w:rsidRPr="001E67B9">
              <w:rPr>
                <w:sz w:val="22"/>
              </w:rPr>
              <w:t>Perth –</w:t>
            </w:r>
            <w:r w:rsidR="008A31C5" w:rsidRPr="001E67B9">
              <w:rPr>
                <w:sz w:val="22"/>
              </w:rPr>
              <w:t xml:space="preserve"> </w:t>
            </w:r>
            <w:r w:rsidR="001E67B9" w:rsidRPr="001E67B9">
              <w:rPr>
                <w:sz w:val="22"/>
              </w:rPr>
              <w:t>Tuesday 21</w:t>
            </w:r>
            <w:r w:rsidR="004D37AA" w:rsidRPr="001E67B9">
              <w:rPr>
                <w:sz w:val="22"/>
              </w:rPr>
              <w:t xml:space="preserve"> April 2020</w:t>
            </w:r>
          </w:p>
          <w:p w14:paraId="4142F170" w14:textId="77777777" w:rsidR="00EB2D92" w:rsidRPr="00D50F8C" w:rsidRDefault="00EB2D92" w:rsidP="005C04DB">
            <w:pPr>
              <w:pStyle w:val="ListParagraph"/>
              <w:numPr>
                <w:ilvl w:val="0"/>
                <w:numId w:val="18"/>
              </w:numPr>
              <w:spacing w:before="60" w:afterLines="30" w:after="72"/>
              <w:ind w:left="714" w:hanging="357"/>
              <w:rPr>
                <w:b/>
                <w:bCs/>
                <w:color w:val="44546A" w:themeColor="text2"/>
              </w:rPr>
            </w:pPr>
            <w:r w:rsidRPr="00D80865">
              <w:rPr>
                <w:sz w:val="22"/>
              </w:rPr>
              <w:t>Brisbane – Thursday 30 April 2020</w:t>
            </w:r>
          </w:p>
          <w:p w14:paraId="0ACF8D5B" w14:textId="55636CFE" w:rsidR="00D50F8C" w:rsidRPr="00D50F8C" w:rsidRDefault="00D50F8C" w:rsidP="00D50F8C">
            <w:pPr>
              <w:spacing w:before="60" w:afterLines="30" w:after="72"/>
              <w:rPr>
                <w:b/>
                <w:bCs/>
                <w:color w:val="44546A" w:themeColor="text2"/>
              </w:rPr>
            </w:pPr>
            <w:r w:rsidRPr="00D50F8C">
              <w:rPr>
                <w:sz w:val="22"/>
              </w:rPr>
              <w:t xml:space="preserve">Any written submissions to this guide will be accepted until </w:t>
            </w:r>
            <w:r w:rsidRPr="001E67B9">
              <w:rPr>
                <w:sz w:val="22"/>
              </w:rPr>
              <w:t>30 April 2020</w:t>
            </w:r>
            <w:r w:rsidRPr="00D50F8C">
              <w:rPr>
                <w:sz w:val="22"/>
              </w:rPr>
              <w:t xml:space="preserve">. </w:t>
            </w:r>
          </w:p>
        </w:tc>
      </w:tr>
      <w:tr w:rsidR="00EB2D92" w:rsidRPr="001852CD" w14:paraId="4A4BBB6A" w14:textId="77777777" w:rsidTr="00D80865">
        <w:tc>
          <w:tcPr>
            <w:tcW w:w="2615" w:type="dxa"/>
            <w:shd w:val="clear" w:color="auto" w:fill="D9D9D9" w:themeFill="background1" w:themeFillShade="D9"/>
          </w:tcPr>
          <w:p w14:paraId="481505FA"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June 2020</w:t>
            </w:r>
          </w:p>
        </w:tc>
        <w:tc>
          <w:tcPr>
            <w:tcW w:w="7023" w:type="dxa"/>
            <w:shd w:val="clear" w:color="auto" w:fill="D9D9D9" w:themeFill="background1" w:themeFillShade="D9"/>
          </w:tcPr>
          <w:p w14:paraId="699312F9"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Discussion paper – released</w:t>
            </w:r>
          </w:p>
        </w:tc>
      </w:tr>
      <w:tr w:rsidR="00EB2D92" w:rsidRPr="00C33EDC" w14:paraId="7EBFDEAD" w14:textId="77777777" w:rsidTr="00D80865">
        <w:tc>
          <w:tcPr>
            <w:tcW w:w="2615" w:type="dxa"/>
            <w:shd w:val="clear" w:color="auto" w:fill="FFFFFF" w:themeFill="background1"/>
          </w:tcPr>
          <w:p w14:paraId="5661ACFF" w14:textId="77777777" w:rsidR="00EB2D92" w:rsidRPr="00C33EDC" w:rsidRDefault="00EB2D92" w:rsidP="00EB2D92">
            <w:pPr>
              <w:pStyle w:val="SingleParagraph"/>
            </w:pPr>
          </w:p>
        </w:tc>
        <w:tc>
          <w:tcPr>
            <w:tcW w:w="7023" w:type="dxa"/>
            <w:shd w:val="clear" w:color="auto" w:fill="FFFFFF" w:themeFill="background1"/>
          </w:tcPr>
          <w:p w14:paraId="11317659" w14:textId="7CC46562" w:rsidR="00EB2D92" w:rsidRDefault="00EB2D92" w:rsidP="00EB2D92">
            <w:pPr>
              <w:spacing w:before="60" w:afterLines="60" w:after="144"/>
              <w:jc w:val="left"/>
              <w:rPr>
                <w:sz w:val="22"/>
                <w:szCs w:val="22"/>
              </w:rPr>
            </w:pPr>
            <w:r w:rsidRPr="00C33EDC">
              <w:rPr>
                <w:sz w:val="22"/>
                <w:szCs w:val="22"/>
              </w:rPr>
              <w:t xml:space="preserve">The consultation roundtables and any other responses to the consultation guide will inform a discussion paper, which is expected to be released in June </w:t>
            </w:r>
            <w:r>
              <w:rPr>
                <w:sz w:val="22"/>
                <w:szCs w:val="22"/>
              </w:rPr>
              <w:t>2020. The discussion paper will:</w:t>
            </w:r>
          </w:p>
          <w:p w14:paraId="7170DAF2" w14:textId="7B272BD3" w:rsidR="00EB2D92" w:rsidRPr="00D80865" w:rsidRDefault="00EB2D92" w:rsidP="00EB2D92">
            <w:pPr>
              <w:pStyle w:val="ListParagraph"/>
              <w:numPr>
                <w:ilvl w:val="0"/>
                <w:numId w:val="19"/>
              </w:numPr>
              <w:spacing w:before="60" w:after="60"/>
              <w:ind w:left="714" w:hanging="357"/>
              <w:rPr>
                <w:sz w:val="22"/>
              </w:rPr>
            </w:pPr>
            <w:r w:rsidRPr="00D80865">
              <w:rPr>
                <w:sz w:val="22"/>
              </w:rPr>
              <w:t xml:space="preserve">canvass the </w:t>
            </w:r>
            <w:r>
              <w:rPr>
                <w:sz w:val="22"/>
              </w:rPr>
              <w:t>options</w:t>
            </w:r>
          </w:p>
          <w:p w14:paraId="7DAE2329" w14:textId="525AFFB5" w:rsidR="00EB2D92" w:rsidRPr="00D80865" w:rsidRDefault="00EB2D92" w:rsidP="00EB2D92">
            <w:pPr>
              <w:pStyle w:val="ListParagraph"/>
              <w:numPr>
                <w:ilvl w:val="0"/>
                <w:numId w:val="19"/>
              </w:numPr>
              <w:spacing w:before="60" w:after="60"/>
              <w:ind w:left="714" w:hanging="357"/>
              <w:rPr>
                <w:sz w:val="22"/>
              </w:rPr>
            </w:pPr>
            <w:r w:rsidRPr="00D80865">
              <w:rPr>
                <w:sz w:val="22"/>
              </w:rPr>
              <w:t>evaluate the potential reform package, and</w:t>
            </w:r>
          </w:p>
          <w:p w14:paraId="7C368428" w14:textId="2E60204D" w:rsidR="00EB2D92" w:rsidRPr="00D80865" w:rsidRDefault="00EB2D92" w:rsidP="00EB2D92">
            <w:pPr>
              <w:pStyle w:val="ListParagraph"/>
              <w:numPr>
                <w:ilvl w:val="0"/>
                <w:numId w:val="19"/>
              </w:numPr>
              <w:spacing w:before="60" w:after="60"/>
              <w:ind w:left="714" w:hanging="357"/>
              <w:rPr>
                <w:sz w:val="22"/>
              </w:rPr>
            </w:pPr>
            <w:r w:rsidRPr="00D80865">
              <w:rPr>
                <w:sz w:val="22"/>
              </w:rPr>
              <w:t xml:space="preserve">discuss the potential tax design issues, including any transitional rules. </w:t>
            </w:r>
          </w:p>
          <w:p w14:paraId="7EE6FE8A" w14:textId="77777777" w:rsidR="00EB2D92" w:rsidRPr="00C33EDC" w:rsidRDefault="00EB2D92" w:rsidP="005C04DB">
            <w:pPr>
              <w:spacing w:before="60" w:afterLines="30" w:after="72"/>
              <w:jc w:val="left"/>
            </w:pPr>
            <w:r w:rsidRPr="00C33EDC">
              <w:rPr>
                <w:sz w:val="22"/>
                <w:szCs w:val="22"/>
              </w:rPr>
              <w:t>If required, the working group will endeavour to hold further meetings with interested stakeholders during this time.</w:t>
            </w:r>
            <w:r w:rsidRPr="00C33EDC">
              <w:t xml:space="preserve"> </w:t>
            </w:r>
          </w:p>
        </w:tc>
      </w:tr>
      <w:tr w:rsidR="00EB2D92" w:rsidRPr="001852CD" w14:paraId="551B5A55" w14:textId="77777777" w:rsidTr="00D80865">
        <w:tc>
          <w:tcPr>
            <w:tcW w:w="2615" w:type="dxa"/>
            <w:shd w:val="clear" w:color="auto" w:fill="D9D9D9" w:themeFill="background1" w:themeFillShade="D9"/>
          </w:tcPr>
          <w:p w14:paraId="21CE9E71" w14:textId="77777777" w:rsidR="00EB2D92" w:rsidRPr="00540DFB" w:rsidRDefault="00EB2D92" w:rsidP="00EB2D92">
            <w:pPr>
              <w:pStyle w:val="TableHeadingContinued"/>
              <w:spacing w:before="0"/>
              <w:rPr>
                <w:sz w:val="24"/>
                <w:szCs w:val="24"/>
              </w:rPr>
            </w:pPr>
            <w:r w:rsidRPr="00540DFB">
              <w:rPr>
                <w:sz w:val="24"/>
                <w:szCs w:val="24"/>
              </w:rPr>
              <w:t>August 2020</w:t>
            </w:r>
          </w:p>
        </w:tc>
        <w:tc>
          <w:tcPr>
            <w:tcW w:w="7023" w:type="dxa"/>
            <w:shd w:val="clear" w:color="auto" w:fill="D9D9D9" w:themeFill="background1" w:themeFillShade="D9"/>
          </w:tcPr>
          <w:p w14:paraId="0EA117D1" w14:textId="66DB72B0" w:rsidR="00EB2D92" w:rsidRPr="00540DFB" w:rsidRDefault="00EB2D92" w:rsidP="00EB2D92">
            <w:pPr>
              <w:pStyle w:val="TableHeadingContinued"/>
              <w:spacing w:before="0"/>
              <w:rPr>
                <w:sz w:val="24"/>
                <w:szCs w:val="24"/>
              </w:rPr>
            </w:pPr>
            <w:r w:rsidRPr="00540DFB">
              <w:rPr>
                <w:sz w:val="24"/>
                <w:szCs w:val="24"/>
              </w:rPr>
              <w:t>Written submissions</w:t>
            </w:r>
            <w:r w:rsidR="001B7E07">
              <w:rPr>
                <w:sz w:val="24"/>
                <w:szCs w:val="24"/>
              </w:rPr>
              <w:t xml:space="preserve"> to Discussion Paper</w:t>
            </w:r>
          </w:p>
        </w:tc>
      </w:tr>
      <w:tr w:rsidR="00EB2D92" w:rsidRPr="00C33EDC" w14:paraId="20C63531" w14:textId="77777777" w:rsidTr="00D80865">
        <w:tc>
          <w:tcPr>
            <w:tcW w:w="2615" w:type="dxa"/>
            <w:shd w:val="clear" w:color="auto" w:fill="FFFFFF" w:themeFill="background1"/>
          </w:tcPr>
          <w:p w14:paraId="15654B91" w14:textId="77777777" w:rsidR="00EB2D92" w:rsidRPr="00C33EDC" w:rsidRDefault="00EB2D92" w:rsidP="00EB2D92">
            <w:pPr>
              <w:pStyle w:val="SingleParagraph"/>
              <w:rPr>
                <w:sz w:val="22"/>
                <w:szCs w:val="22"/>
              </w:rPr>
            </w:pPr>
          </w:p>
        </w:tc>
        <w:tc>
          <w:tcPr>
            <w:tcW w:w="7023" w:type="dxa"/>
            <w:shd w:val="clear" w:color="auto" w:fill="FFFFFF" w:themeFill="background1"/>
          </w:tcPr>
          <w:p w14:paraId="6A10C799" w14:textId="7844844D" w:rsidR="00EB2D92" w:rsidRPr="00C33EDC" w:rsidRDefault="00EB2D92" w:rsidP="000725A3">
            <w:pPr>
              <w:pStyle w:val="TableTextLeft"/>
              <w:spacing w:before="60" w:afterLines="30" w:after="72"/>
              <w:rPr>
                <w:szCs w:val="22"/>
              </w:rPr>
            </w:pPr>
            <w:r w:rsidRPr="00C33EDC">
              <w:rPr>
                <w:szCs w:val="22"/>
              </w:rPr>
              <w:t xml:space="preserve">Submissions in response to the discussion paper are expected to close </w:t>
            </w:r>
            <w:r w:rsidR="000725A3">
              <w:rPr>
                <w:szCs w:val="22"/>
              </w:rPr>
              <w:t>31</w:t>
            </w:r>
            <w:r w:rsidRPr="00C33EDC">
              <w:rPr>
                <w:szCs w:val="22"/>
              </w:rPr>
              <w:t xml:space="preserve"> August</w:t>
            </w:r>
            <w:r w:rsidR="000725A3">
              <w:rPr>
                <w:szCs w:val="22"/>
              </w:rPr>
              <w:t xml:space="preserve"> 2020</w:t>
            </w:r>
            <w:r w:rsidRPr="00C33EDC">
              <w:rPr>
                <w:szCs w:val="22"/>
              </w:rPr>
              <w:t xml:space="preserve">. </w:t>
            </w:r>
          </w:p>
        </w:tc>
      </w:tr>
      <w:tr w:rsidR="00EB2D92" w:rsidRPr="001852CD" w14:paraId="71C555DE" w14:textId="77777777" w:rsidTr="00D80865">
        <w:tc>
          <w:tcPr>
            <w:tcW w:w="2615" w:type="dxa"/>
            <w:shd w:val="clear" w:color="auto" w:fill="D9D9D9" w:themeFill="background1" w:themeFillShade="D9"/>
          </w:tcPr>
          <w:p w14:paraId="6EF34EE5"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November 2020</w:t>
            </w:r>
          </w:p>
        </w:tc>
        <w:tc>
          <w:tcPr>
            <w:tcW w:w="7023" w:type="dxa"/>
            <w:shd w:val="clear" w:color="auto" w:fill="D9D9D9" w:themeFill="background1" w:themeFillShade="D9"/>
          </w:tcPr>
          <w:p w14:paraId="0726ACF1" w14:textId="77777777" w:rsidR="00EB2D92" w:rsidRPr="00540DFB" w:rsidRDefault="00EB2D92" w:rsidP="00EB2D92">
            <w:pPr>
              <w:pStyle w:val="TableHeadingContinued"/>
              <w:spacing w:before="0"/>
              <w:rPr>
                <w:bCs/>
                <w:color w:val="44546A" w:themeColor="text2"/>
                <w:sz w:val="24"/>
                <w:szCs w:val="24"/>
              </w:rPr>
            </w:pPr>
            <w:r w:rsidRPr="00540DFB">
              <w:rPr>
                <w:sz w:val="24"/>
                <w:szCs w:val="24"/>
              </w:rPr>
              <w:t>Final report</w:t>
            </w:r>
          </w:p>
        </w:tc>
      </w:tr>
      <w:tr w:rsidR="00EB2D92" w:rsidRPr="00C33EDC" w14:paraId="09272CAB" w14:textId="77777777" w:rsidTr="00D80865">
        <w:tc>
          <w:tcPr>
            <w:tcW w:w="2615" w:type="dxa"/>
            <w:shd w:val="clear" w:color="auto" w:fill="FFFFFF" w:themeFill="background1"/>
          </w:tcPr>
          <w:p w14:paraId="3A7C07F4" w14:textId="77777777" w:rsidR="00EB2D92" w:rsidRPr="00C33EDC" w:rsidRDefault="00EB2D92" w:rsidP="00EB2D92"/>
        </w:tc>
        <w:tc>
          <w:tcPr>
            <w:tcW w:w="7023" w:type="dxa"/>
            <w:shd w:val="clear" w:color="auto" w:fill="FFFFFF" w:themeFill="background1"/>
          </w:tcPr>
          <w:p w14:paraId="434A0178" w14:textId="7D8E104B" w:rsidR="00EB2D92" w:rsidRPr="00C33EDC" w:rsidRDefault="00EB2D92" w:rsidP="005C04DB">
            <w:pPr>
              <w:spacing w:before="60" w:afterLines="30" w:after="72"/>
              <w:rPr>
                <w:bCs/>
                <w:sz w:val="22"/>
                <w:szCs w:val="22"/>
              </w:rPr>
            </w:pPr>
            <w:r w:rsidRPr="00C33EDC">
              <w:rPr>
                <w:bCs/>
                <w:sz w:val="22"/>
                <w:szCs w:val="22"/>
              </w:rPr>
              <w:t xml:space="preserve">The Board is </w:t>
            </w:r>
            <w:r>
              <w:rPr>
                <w:bCs/>
                <w:sz w:val="22"/>
                <w:szCs w:val="22"/>
              </w:rPr>
              <w:t>required to report to the Government by 30 November 2020.</w:t>
            </w:r>
          </w:p>
        </w:tc>
      </w:tr>
    </w:tbl>
    <w:p w14:paraId="6A5C97E3" w14:textId="7FBA0871" w:rsidR="00D62752" w:rsidRDefault="00B37C6C" w:rsidP="00754A10">
      <w:pPr>
        <w:pStyle w:val="Heading1"/>
      </w:pPr>
      <w:r>
        <w:br w:type="page"/>
      </w:r>
      <w:bookmarkStart w:id="6" w:name="_Toc31967324"/>
      <w:r w:rsidR="00754A10">
        <w:lastRenderedPageBreak/>
        <w:t>The current system of CGT roll-overs</w:t>
      </w:r>
      <w:bookmarkEnd w:id="6"/>
    </w:p>
    <w:p w14:paraId="329F0A67" w14:textId="4CE51D80" w:rsidR="00827552" w:rsidRDefault="00084765" w:rsidP="00B532D5">
      <w:pPr>
        <w:pStyle w:val="Introductionparagraph"/>
        <w:spacing w:after="120"/>
      </w:pPr>
      <w:r>
        <w:t xml:space="preserve">A roll-over is a </w:t>
      </w:r>
      <w:r w:rsidR="00E122EE" w:rsidRPr="00845329">
        <w:t>concession</w:t>
      </w:r>
      <w:r w:rsidR="00E122EE">
        <w:t xml:space="preserve"> </w:t>
      </w:r>
      <w:r>
        <w:t>to the principle that</w:t>
      </w:r>
      <w:r w:rsidR="00E71C0A">
        <w:t xml:space="preserve"> a</w:t>
      </w:r>
      <w:r>
        <w:t xml:space="preserve"> capital gain </w:t>
      </w:r>
      <w:r w:rsidR="00E71C0A">
        <w:t>is</w:t>
      </w:r>
      <w:r>
        <w:t xml:space="preserve"> taxed </w:t>
      </w:r>
      <w:r w:rsidR="00E71C0A">
        <w:t xml:space="preserve">once it is realised, such as </w:t>
      </w:r>
      <w:r>
        <w:t xml:space="preserve">on </w:t>
      </w:r>
      <w:r w:rsidR="00C17A14">
        <w:t xml:space="preserve">the </w:t>
      </w:r>
      <w:r w:rsidR="00B810A6">
        <w:t xml:space="preserve">disposal </w:t>
      </w:r>
      <w:r w:rsidR="00C17A14">
        <w:t>of an asset</w:t>
      </w:r>
      <w:r>
        <w:t xml:space="preserve">. It is a mechanism to defer the levying of </w:t>
      </w:r>
      <w:r w:rsidR="008D7AB0">
        <w:t xml:space="preserve">CGT on </w:t>
      </w:r>
      <w:r>
        <w:t>a capital gain</w:t>
      </w:r>
      <w:r w:rsidR="008D7AB0">
        <w:t xml:space="preserve"> </w:t>
      </w:r>
      <w:r w:rsidR="00172573">
        <w:t xml:space="preserve">or loss </w:t>
      </w:r>
      <w:r w:rsidR="008D7AB0">
        <w:t>to a later point in time, either</w:t>
      </w:r>
      <w:r>
        <w:t xml:space="preserve"> on the same entity or a different entity. </w:t>
      </w:r>
      <w:r w:rsidR="0049727C">
        <w:t xml:space="preserve">Roll-overs </w:t>
      </w:r>
      <w:r>
        <w:t xml:space="preserve">involve </w:t>
      </w:r>
      <w:r w:rsidR="00C72391">
        <w:t xml:space="preserve">delaying </w:t>
      </w:r>
      <w:r>
        <w:t xml:space="preserve">the </w:t>
      </w:r>
      <w:r w:rsidR="0049727C">
        <w:t xml:space="preserve">taxation of </w:t>
      </w:r>
      <w:r>
        <w:t>capital gain</w:t>
      </w:r>
      <w:r w:rsidR="0049727C">
        <w:t>s</w:t>
      </w:r>
      <w:r w:rsidR="00C72391">
        <w:t xml:space="preserve"> and modifying the rules about </w:t>
      </w:r>
      <w:r>
        <w:t>cost base and acquisition</w:t>
      </w:r>
      <w:r w:rsidR="00C72391">
        <w:t xml:space="preserve"> tim</w:t>
      </w:r>
      <w:r w:rsidR="00E71C0A">
        <w:t>e</w:t>
      </w:r>
      <w:r w:rsidR="00C72391">
        <w:t xml:space="preserve"> to </w:t>
      </w:r>
      <w:r w:rsidR="00E71C0A">
        <w:t xml:space="preserve">give effect to </w:t>
      </w:r>
      <w:r w:rsidR="00C72391">
        <w:t>the deferral</w:t>
      </w:r>
      <w:r>
        <w:t xml:space="preserve">. </w:t>
      </w:r>
    </w:p>
    <w:p w14:paraId="6A2F6F95" w14:textId="77777777" w:rsidR="00C2513C" w:rsidRDefault="00C2513C" w:rsidP="00C2513C">
      <w:pPr>
        <w:pStyle w:val="Introductionparagraph"/>
        <w:rPr>
          <w:color w:val="auto"/>
          <w:sz w:val="22"/>
          <w:szCs w:val="20"/>
        </w:rPr>
      </w:pPr>
      <w:r>
        <w:rPr>
          <w:color w:val="auto"/>
          <w:sz w:val="22"/>
          <w:szCs w:val="20"/>
        </w:rPr>
        <w:t>Roll-overs were originally intended to be available in two main circumstances. This intention was articulated in then Treasurer Paul Keating’s Second Reading speech on 22 May 1986 (emphasis added):</w:t>
      </w:r>
    </w:p>
    <w:p w14:paraId="38D88970" w14:textId="77777777" w:rsidR="00C2513C" w:rsidRDefault="00C2513C" w:rsidP="00C2513C">
      <w:pPr>
        <w:pStyle w:val="Introductionparagraph"/>
        <w:ind w:left="720"/>
        <w:rPr>
          <w:i/>
          <w:color w:val="auto"/>
          <w:sz w:val="22"/>
          <w:szCs w:val="20"/>
        </w:rPr>
      </w:pPr>
      <w:r>
        <w:rPr>
          <w:i/>
          <w:color w:val="auto"/>
          <w:sz w:val="22"/>
          <w:szCs w:val="20"/>
        </w:rPr>
        <w:t xml:space="preserve">“Rollovers-that is, deferral of capital gains tax liability-are to be allowed for asset ownership changes associated with specified types of business reorganisations where </w:t>
      </w:r>
      <w:r>
        <w:rPr>
          <w:b/>
          <w:i/>
          <w:color w:val="auto"/>
          <w:sz w:val="22"/>
          <w:szCs w:val="20"/>
        </w:rPr>
        <w:t>no change occurs in the underlying ownership of the asset concerned</w:t>
      </w:r>
      <w:r>
        <w:rPr>
          <w:i/>
          <w:color w:val="auto"/>
          <w:sz w:val="22"/>
          <w:szCs w:val="20"/>
        </w:rPr>
        <w:t xml:space="preserve"> or where the underlying assets against which the taxpayer has a claim do not change... The Government has considered the view that more general rollover relief should be available for business reorganisations on the argument that not to do so could inhibit desirable business behaviour. It has rejected this argument on equity grounds. Taken to its logical conclusion, it is virtually akin to saying that it is only the capital gains of individuals not operating businesses which should be subject to the tax. </w:t>
      </w:r>
    </w:p>
    <w:p w14:paraId="661D4D26" w14:textId="77777777" w:rsidR="00C2513C" w:rsidRDefault="00C2513C" w:rsidP="00C2513C">
      <w:pPr>
        <w:pStyle w:val="Introductionparagraph"/>
        <w:ind w:left="720"/>
        <w:rPr>
          <w:i/>
          <w:color w:val="auto"/>
          <w:sz w:val="22"/>
          <w:szCs w:val="20"/>
        </w:rPr>
      </w:pPr>
      <w:r>
        <w:rPr>
          <w:i/>
          <w:color w:val="auto"/>
          <w:sz w:val="22"/>
          <w:szCs w:val="20"/>
        </w:rPr>
        <w:t xml:space="preserve">Rollovers are also provided for certain </w:t>
      </w:r>
      <w:r>
        <w:rPr>
          <w:b/>
          <w:i/>
          <w:color w:val="auto"/>
          <w:sz w:val="22"/>
          <w:szCs w:val="20"/>
        </w:rPr>
        <w:t>involuntary asset disposals</w:t>
      </w:r>
      <w:r>
        <w:rPr>
          <w:i/>
          <w:color w:val="auto"/>
          <w:sz w:val="22"/>
          <w:szCs w:val="20"/>
        </w:rPr>
        <w:t>. These include the compulsory acquisition of assets by a government body and the theft or destruction of assets, where replacement assets are acquired within a stipulated period. In addition, in order to avoid the possibility of undue financial hardship, rollovers will apply for asset transfers between spouses incident to the breakdown of legal marriages…”</w:t>
      </w:r>
    </w:p>
    <w:p w14:paraId="69BF74CA" w14:textId="7C471935" w:rsidR="00C2513C" w:rsidRDefault="00C2513C" w:rsidP="00C2513C">
      <w:r>
        <w:t xml:space="preserve">Subsequent Governments have enacted a number of roll-overs on grounds of economic efficiency which expand on the two main categories from the original CGT policy design. The majority of these additional roll-overs relate to voluntary business restructures which do allow changes in underlying economic ownership of particular assets. </w:t>
      </w:r>
    </w:p>
    <w:p w14:paraId="5FCC4D31" w14:textId="3BFBE664" w:rsidR="00287286" w:rsidRDefault="004251BE" w:rsidP="00C2513C">
      <w:r>
        <w:t xml:space="preserve">Set out below are the current CGT roll-overs in the tax system, separated into three categories – </w:t>
      </w:r>
      <w:r w:rsidR="002717C0">
        <w:t xml:space="preserve">roll-overs available for certain business </w:t>
      </w:r>
      <w:r w:rsidR="000A2356">
        <w:t>reorganisations</w:t>
      </w:r>
      <w:r w:rsidR="00C2513C">
        <w:t xml:space="preserve"> with no change in underlying economic ownership</w:t>
      </w:r>
      <w:r>
        <w:t>, roll-overs</w:t>
      </w:r>
      <w:r w:rsidR="00553217">
        <w:t xml:space="preserve"> that typify a degree of involuntariness</w:t>
      </w:r>
      <w:r w:rsidR="00C2513C">
        <w:t>, and roll-overs for business reorganisations that do allow a change in underlying economic ownership. There is also</w:t>
      </w:r>
      <w:r w:rsidR="00BF0B9D">
        <w:t xml:space="preserve"> unique</w:t>
      </w:r>
      <w:r w:rsidR="00C2513C">
        <w:t xml:space="preserve"> relief provided to small businesses on the taxation of capital gains arising from the replacement of active business assets. </w:t>
      </w:r>
    </w:p>
    <w:p w14:paraId="49C24D04" w14:textId="62D3968F" w:rsidR="006E3731" w:rsidRDefault="006E3731" w:rsidP="00C2513C"/>
    <w:p w14:paraId="6663514E" w14:textId="3E07782E" w:rsidR="00C17A14" w:rsidRPr="002E64C0" w:rsidRDefault="00287286" w:rsidP="00287286">
      <w:pPr>
        <w:spacing w:before="0" w:after="160" w:line="259" w:lineRule="auto"/>
      </w:pPr>
      <w:r>
        <w:br w:type="page"/>
      </w:r>
    </w:p>
    <w:tbl>
      <w:tblPr>
        <w:tblStyle w:val="TableGrid"/>
        <w:tblW w:w="0" w:type="auto"/>
        <w:shd w:val="clear" w:color="auto" w:fill="FFFFFF" w:themeFill="background1"/>
        <w:tblLook w:val="04A0" w:firstRow="1" w:lastRow="0" w:firstColumn="1" w:lastColumn="0" w:noHBand="0" w:noVBand="1"/>
      </w:tblPr>
      <w:tblGrid>
        <w:gridCol w:w="2027"/>
        <w:gridCol w:w="922"/>
        <w:gridCol w:w="3572"/>
        <w:gridCol w:w="3117"/>
      </w:tblGrid>
      <w:tr w:rsidR="000242A4" w:rsidRPr="006F14B4" w14:paraId="6A5C97E9" w14:textId="7679FE2A" w:rsidTr="0063194B">
        <w:tc>
          <w:tcPr>
            <w:tcW w:w="2027" w:type="dxa"/>
            <w:tcBorders>
              <w:bottom w:val="single" w:sz="6" w:space="0" w:color="C00000"/>
            </w:tcBorders>
            <w:shd w:val="clear" w:color="auto" w:fill="F2F2F2" w:themeFill="background1" w:themeFillShade="F2"/>
          </w:tcPr>
          <w:p w14:paraId="6A5C97E7" w14:textId="4284325C" w:rsidR="000242A4" w:rsidRPr="004246FE" w:rsidRDefault="000242A4" w:rsidP="00214CB8">
            <w:pPr>
              <w:pStyle w:val="TableColumnHeadingCentred"/>
              <w:jc w:val="left"/>
              <w:rPr>
                <w:bCs/>
                <w:color w:val="44546A" w:themeColor="text2"/>
                <w:sz w:val="22"/>
              </w:rPr>
            </w:pPr>
            <w:r>
              <w:lastRenderedPageBreak/>
              <w:t>Roll-over</w:t>
            </w:r>
          </w:p>
        </w:tc>
        <w:tc>
          <w:tcPr>
            <w:tcW w:w="922" w:type="dxa"/>
            <w:tcBorders>
              <w:bottom w:val="single" w:sz="6" w:space="0" w:color="C00000"/>
            </w:tcBorders>
            <w:shd w:val="clear" w:color="auto" w:fill="F2F2F2" w:themeFill="background1" w:themeFillShade="F2"/>
          </w:tcPr>
          <w:p w14:paraId="705DFBAB" w14:textId="74883A51" w:rsidR="000242A4" w:rsidRPr="004246FE" w:rsidRDefault="000242A4" w:rsidP="00214CB8">
            <w:pPr>
              <w:pStyle w:val="TableColumnHeadingCentred"/>
              <w:jc w:val="left"/>
            </w:pPr>
            <w:r>
              <w:t>Ref</w:t>
            </w:r>
          </w:p>
        </w:tc>
        <w:tc>
          <w:tcPr>
            <w:tcW w:w="3572" w:type="dxa"/>
            <w:tcBorders>
              <w:bottom w:val="single" w:sz="6" w:space="0" w:color="C00000"/>
            </w:tcBorders>
            <w:shd w:val="clear" w:color="auto" w:fill="F2F2F2" w:themeFill="background1" w:themeFillShade="F2"/>
          </w:tcPr>
          <w:p w14:paraId="6A5C97E8" w14:textId="5B83F515" w:rsidR="000242A4" w:rsidRPr="004246FE" w:rsidRDefault="000242A4" w:rsidP="00214CB8">
            <w:pPr>
              <w:pStyle w:val="TableColumnHeadingCentred"/>
              <w:jc w:val="left"/>
              <w:rPr>
                <w:sz w:val="22"/>
              </w:rPr>
            </w:pPr>
            <w:r w:rsidRPr="004246FE">
              <w:t>Description</w:t>
            </w:r>
          </w:p>
        </w:tc>
        <w:tc>
          <w:tcPr>
            <w:tcW w:w="3117" w:type="dxa"/>
            <w:tcBorders>
              <w:bottom w:val="single" w:sz="6" w:space="0" w:color="C00000"/>
            </w:tcBorders>
            <w:shd w:val="clear" w:color="auto" w:fill="F2F2F2" w:themeFill="background1" w:themeFillShade="F2"/>
          </w:tcPr>
          <w:p w14:paraId="4118871F" w14:textId="7D4E5909" w:rsidR="000242A4" w:rsidRPr="004246FE" w:rsidRDefault="0063194B" w:rsidP="00214CB8">
            <w:pPr>
              <w:pStyle w:val="TableColumnHeadingCentred"/>
              <w:jc w:val="left"/>
            </w:pPr>
            <w:r>
              <w:t>Policy rationale</w:t>
            </w:r>
            <w:r w:rsidR="006E3731">
              <w:rPr>
                <w:rStyle w:val="FootnoteReference"/>
              </w:rPr>
              <w:footnoteReference w:id="2"/>
            </w:r>
          </w:p>
        </w:tc>
      </w:tr>
      <w:tr w:rsidR="000242A4" w:rsidRPr="006F14B4" w14:paraId="07CDBDB2" w14:textId="60B170D0" w:rsidTr="0063194B">
        <w:tc>
          <w:tcPr>
            <w:tcW w:w="6521" w:type="dxa"/>
            <w:gridSpan w:val="3"/>
            <w:tcBorders>
              <w:bottom w:val="single" w:sz="6" w:space="0" w:color="C00000"/>
            </w:tcBorders>
            <w:shd w:val="clear" w:color="auto" w:fill="F2F2F2" w:themeFill="background1" w:themeFillShade="F2"/>
          </w:tcPr>
          <w:p w14:paraId="085D8BED" w14:textId="6548C042" w:rsidR="000242A4" w:rsidRPr="004246FE" w:rsidRDefault="000242A4" w:rsidP="00F96145">
            <w:pPr>
              <w:pStyle w:val="TableColumnHeadingCentred"/>
              <w:jc w:val="left"/>
            </w:pPr>
            <w:r>
              <w:rPr>
                <w:color w:val="002060"/>
              </w:rPr>
              <w:t>Business r</w:t>
            </w:r>
            <w:r w:rsidRPr="00DC7B28">
              <w:rPr>
                <w:color w:val="002060"/>
              </w:rPr>
              <w:t>e</w:t>
            </w:r>
            <w:r>
              <w:rPr>
                <w:color w:val="002060"/>
              </w:rPr>
              <w:t>organisations</w:t>
            </w:r>
            <w:r w:rsidR="0063194B">
              <w:rPr>
                <w:color w:val="002060"/>
              </w:rPr>
              <w:t xml:space="preserve"> </w:t>
            </w:r>
            <w:r w:rsidR="006212B3">
              <w:rPr>
                <w:color w:val="002060"/>
              </w:rPr>
              <w:t xml:space="preserve">with no change in underlying economic ownership </w:t>
            </w:r>
          </w:p>
        </w:tc>
        <w:tc>
          <w:tcPr>
            <w:tcW w:w="3117" w:type="dxa"/>
            <w:tcBorders>
              <w:bottom w:val="single" w:sz="6" w:space="0" w:color="C00000"/>
            </w:tcBorders>
            <w:shd w:val="clear" w:color="auto" w:fill="F2F2F2" w:themeFill="background1" w:themeFillShade="F2"/>
          </w:tcPr>
          <w:p w14:paraId="1241C165" w14:textId="20E6E949" w:rsidR="000242A4" w:rsidRDefault="000242A4" w:rsidP="009D3DA1">
            <w:pPr>
              <w:pStyle w:val="TableColumnHeadingCentred"/>
              <w:rPr>
                <w:color w:val="002060"/>
              </w:rPr>
            </w:pPr>
          </w:p>
        </w:tc>
      </w:tr>
      <w:tr w:rsidR="000242A4" w:rsidRPr="006F14B4" w14:paraId="6A5C97EC" w14:textId="6EC55F20" w:rsidTr="0063194B">
        <w:tc>
          <w:tcPr>
            <w:tcW w:w="2027" w:type="dxa"/>
            <w:tcBorders>
              <w:top w:val="single" w:sz="6" w:space="0" w:color="C00000"/>
              <w:bottom w:val="single" w:sz="6" w:space="0" w:color="C00000"/>
            </w:tcBorders>
            <w:shd w:val="clear" w:color="auto" w:fill="FFFFFF" w:themeFill="background1"/>
          </w:tcPr>
          <w:p w14:paraId="6A5C97EA" w14:textId="4403C812" w:rsidR="000242A4" w:rsidRPr="004246FE" w:rsidRDefault="000242A4" w:rsidP="00F96145">
            <w:pPr>
              <w:pStyle w:val="TableColumnHeadingLeft"/>
              <w:spacing w:beforeLines="20" w:before="48" w:afterLines="20" w:after="48"/>
              <w:rPr>
                <w:sz w:val="22"/>
              </w:rPr>
            </w:pPr>
            <w:r>
              <w:t>Individual/trustee transfer to wholly owned company</w:t>
            </w:r>
          </w:p>
        </w:tc>
        <w:tc>
          <w:tcPr>
            <w:tcW w:w="922" w:type="dxa"/>
            <w:tcBorders>
              <w:top w:val="single" w:sz="6" w:space="0" w:color="C00000"/>
              <w:bottom w:val="single" w:sz="6" w:space="0" w:color="C00000"/>
            </w:tcBorders>
            <w:shd w:val="clear" w:color="auto" w:fill="FFFFFF" w:themeFill="background1"/>
          </w:tcPr>
          <w:p w14:paraId="7A365D23" w14:textId="68190232" w:rsidR="000242A4" w:rsidRDefault="000242A4" w:rsidP="00172573">
            <w:pPr>
              <w:pStyle w:val="TableTextLeft"/>
              <w:spacing w:beforeLines="20" w:before="48" w:afterLines="20" w:after="48"/>
            </w:pPr>
            <w:r>
              <w:t xml:space="preserve">122-A </w:t>
            </w:r>
          </w:p>
        </w:tc>
        <w:tc>
          <w:tcPr>
            <w:tcW w:w="3572" w:type="dxa"/>
            <w:tcBorders>
              <w:top w:val="single" w:sz="6" w:space="0" w:color="C00000"/>
              <w:bottom w:val="single" w:sz="6" w:space="0" w:color="C00000"/>
            </w:tcBorders>
            <w:shd w:val="clear" w:color="auto" w:fill="FFFFFF" w:themeFill="background1"/>
          </w:tcPr>
          <w:p w14:paraId="1DA9363A" w14:textId="32403939" w:rsidR="000242A4" w:rsidRDefault="000242A4" w:rsidP="00F96145">
            <w:pPr>
              <w:pStyle w:val="TableTextLeft"/>
              <w:spacing w:beforeLines="20" w:before="48" w:afterLines="20" w:after="48"/>
            </w:pPr>
            <w:r>
              <w:t xml:space="preserve">Relief provided as part of the originating CGT package in 1986 where an individual or trust transfers property to a company in exchange for </w:t>
            </w:r>
            <w:r w:rsidR="00E71C0A">
              <w:t xml:space="preserve">shares </w:t>
            </w:r>
            <w:r>
              <w:t xml:space="preserve">of the same company. </w:t>
            </w:r>
          </w:p>
          <w:p w14:paraId="6A5C97EB" w14:textId="2C7F3D51" w:rsidR="000242A4" w:rsidRPr="00296283" w:rsidRDefault="000242A4" w:rsidP="00F96145">
            <w:pPr>
              <w:pStyle w:val="TableTextLeft"/>
              <w:spacing w:beforeLines="20" w:before="48" w:afterLines="20" w:after="48"/>
            </w:pPr>
          </w:p>
        </w:tc>
        <w:tc>
          <w:tcPr>
            <w:tcW w:w="3117" w:type="dxa"/>
            <w:tcBorders>
              <w:top w:val="single" w:sz="6" w:space="0" w:color="C00000"/>
              <w:bottom w:val="single" w:sz="6" w:space="0" w:color="C00000"/>
            </w:tcBorders>
            <w:shd w:val="clear" w:color="auto" w:fill="FFFFFF" w:themeFill="background1"/>
          </w:tcPr>
          <w:p w14:paraId="24DF53C6" w14:textId="4FF73BD2" w:rsidR="000242A4" w:rsidRDefault="0063194B" w:rsidP="00F96145">
            <w:pPr>
              <w:pStyle w:val="TableTextLeft"/>
              <w:spacing w:beforeLines="20" w:before="48" w:afterLines="20" w:after="48"/>
            </w:pPr>
            <w:r>
              <w:t>In modifying the proposals in the draft White Paper ‘</w:t>
            </w:r>
            <w:r>
              <w:rPr>
                <w:i/>
              </w:rPr>
              <w:t>Reform of the Australian Tax System’,</w:t>
            </w:r>
            <w:r>
              <w:t xml:space="preserve"> the Government decided that roll-over is justified on economic efficiency grounds for certain types of business reorganisations. Namely, for business reorganisations involving asset ownership changes where no change occurs in the underlying ownership of the asset or where the underlying assets against which the taxpayer has a claim do not change.</w:t>
            </w:r>
          </w:p>
        </w:tc>
      </w:tr>
      <w:tr w:rsidR="000242A4" w:rsidRPr="006F14B4" w14:paraId="6A5C97EF" w14:textId="34CE7D04" w:rsidTr="0063194B">
        <w:tc>
          <w:tcPr>
            <w:tcW w:w="2027" w:type="dxa"/>
            <w:tcBorders>
              <w:top w:val="single" w:sz="6" w:space="0" w:color="C00000"/>
              <w:bottom w:val="single" w:sz="6" w:space="0" w:color="C00000"/>
            </w:tcBorders>
            <w:shd w:val="clear" w:color="auto" w:fill="FFFFFF" w:themeFill="background1"/>
          </w:tcPr>
          <w:p w14:paraId="6A5C97ED" w14:textId="5941A772" w:rsidR="000242A4" w:rsidRPr="004246FE" w:rsidRDefault="000242A4" w:rsidP="00F96145">
            <w:pPr>
              <w:pStyle w:val="TableColumnHeadingLeft"/>
              <w:spacing w:beforeLines="20" w:before="48" w:afterLines="20" w:after="48"/>
              <w:rPr>
                <w:sz w:val="22"/>
              </w:rPr>
            </w:pPr>
            <w:r>
              <w:t>Partnership transfer to wholly owned company</w:t>
            </w:r>
          </w:p>
        </w:tc>
        <w:tc>
          <w:tcPr>
            <w:tcW w:w="922" w:type="dxa"/>
            <w:tcBorders>
              <w:top w:val="single" w:sz="6" w:space="0" w:color="C00000"/>
              <w:bottom w:val="single" w:sz="6" w:space="0" w:color="C00000"/>
            </w:tcBorders>
            <w:shd w:val="clear" w:color="auto" w:fill="FFFFFF" w:themeFill="background1"/>
          </w:tcPr>
          <w:p w14:paraId="3E3592B1" w14:textId="00E6858D" w:rsidR="000242A4" w:rsidRDefault="000242A4" w:rsidP="00F96145">
            <w:pPr>
              <w:pStyle w:val="TableTextLeft"/>
              <w:spacing w:beforeLines="20" w:before="48" w:afterLines="20" w:after="48"/>
            </w:pPr>
            <w:r>
              <w:t>122-B</w:t>
            </w:r>
          </w:p>
        </w:tc>
        <w:tc>
          <w:tcPr>
            <w:tcW w:w="3572" w:type="dxa"/>
            <w:tcBorders>
              <w:top w:val="single" w:sz="6" w:space="0" w:color="C00000"/>
              <w:bottom w:val="single" w:sz="6" w:space="0" w:color="C00000"/>
            </w:tcBorders>
            <w:shd w:val="clear" w:color="auto" w:fill="FFFFFF" w:themeFill="background1"/>
          </w:tcPr>
          <w:p w14:paraId="6A5C97EE" w14:textId="64E016EC" w:rsidR="000242A4" w:rsidRPr="00296283" w:rsidRDefault="000242A4" w:rsidP="00E71C0A">
            <w:pPr>
              <w:pStyle w:val="TableTextLeft"/>
              <w:spacing w:beforeLines="20" w:before="48" w:afterLines="20" w:after="48"/>
            </w:pPr>
            <w:r>
              <w:t xml:space="preserve">Relief provided when a partnership transfers property to a company in exchange for </w:t>
            </w:r>
            <w:r w:rsidR="00E71C0A">
              <w:t xml:space="preserve">shares </w:t>
            </w:r>
            <w:r>
              <w:t xml:space="preserve">of the same company. </w:t>
            </w:r>
          </w:p>
        </w:tc>
        <w:tc>
          <w:tcPr>
            <w:tcW w:w="3117" w:type="dxa"/>
            <w:tcBorders>
              <w:top w:val="single" w:sz="6" w:space="0" w:color="C00000"/>
              <w:bottom w:val="single" w:sz="6" w:space="0" w:color="C00000"/>
            </w:tcBorders>
            <w:shd w:val="clear" w:color="auto" w:fill="FFFFFF" w:themeFill="background1"/>
          </w:tcPr>
          <w:p w14:paraId="709ECC54" w14:textId="4FA90B5E" w:rsidR="000242A4" w:rsidRDefault="00FD54DE" w:rsidP="00F96145">
            <w:pPr>
              <w:pStyle w:val="TableTextLeft"/>
              <w:spacing w:beforeLines="20" w:before="48" w:afterLines="20" w:after="48"/>
            </w:pPr>
            <w:r>
              <w:t>As above for 122-A roll-over.</w:t>
            </w:r>
          </w:p>
        </w:tc>
      </w:tr>
      <w:tr w:rsidR="00FD54DE" w:rsidRPr="006F14B4" w14:paraId="6A5C97F6" w14:textId="7CB745BE" w:rsidTr="0063194B">
        <w:tc>
          <w:tcPr>
            <w:tcW w:w="2027" w:type="dxa"/>
            <w:tcBorders>
              <w:top w:val="single" w:sz="6" w:space="0" w:color="C00000"/>
              <w:bottom w:val="single" w:sz="6" w:space="0" w:color="C00000"/>
            </w:tcBorders>
            <w:shd w:val="clear" w:color="auto" w:fill="FFFFFF" w:themeFill="background1"/>
          </w:tcPr>
          <w:p w14:paraId="6A5C97F0" w14:textId="1BAF99F4" w:rsidR="00FD54DE" w:rsidRPr="004246FE" w:rsidRDefault="00FD54DE" w:rsidP="00F96145">
            <w:pPr>
              <w:pStyle w:val="TableColumnHeadingLeft"/>
              <w:spacing w:beforeLines="20" w:before="48" w:afterLines="20" w:after="48"/>
              <w:rPr>
                <w:bCs/>
                <w:color w:val="44546A" w:themeColor="text2"/>
                <w:sz w:val="22"/>
              </w:rPr>
            </w:pPr>
            <w:r>
              <w:t>Exchange of shares or units</w:t>
            </w:r>
          </w:p>
        </w:tc>
        <w:tc>
          <w:tcPr>
            <w:tcW w:w="922" w:type="dxa"/>
            <w:tcBorders>
              <w:top w:val="single" w:sz="6" w:space="0" w:color="C00000"/>
              <w:bottom w:val="single" w:sz="6" w:space="0" w:color="C00000"/>
            </w:tcBorders>
            <w:shd w:val="clear" w:color="auto" w:fill="FFFFFF" w:themeFill="background1"/>
          </w:tcPr>
          <w:p w14:paraId="354656D7" w14:textId="62C1FF57" w:rsidR="00FD54DE" w:rsidRDefault="00FD54DE" w:rsidP="00172573">
            <w:pPr>
              <w:pStyle w:val="Bullet"/>
              <w:numPr>
                <w:ilvl w:val="0"/>
                <w:numId w:val="0"/>
              </w:numPr>
              <w:spacing w:beforeLines="20" w:before="48" w:afterLines="20" w:after="48"/>
              <w:ind w:left="284" w:hanging="284"/>
            </w:pPr>
            <w:r w:rsidRPr="00DC7B28">
              <w:rPr>
                <w:sz w:val="22"/>
              </w:rPr>
              <w:t>124-E</w:t>
            </w:r>
          </w:p>
        </w:tc>
        <w:tc>
          <w:tcPr>
            <w:tcW w:w="3572" w:type="dxa"/>
            <w:tcBorders>
              <w:top w:val="single" w:sz="6" w:space="0" w:color="C00000"/>
              <w:bottom w:val="single" w:sz="6" w:space="0" w:color="C00000"/>
            </w:tcBorders>
            <w:shd w:val="clear" w:color="auto" w:fill="FFFFFF" w:themeFill="background1"/>
          </w:tcPr>
          <w:p w14:paraId="6A5C97F5" w14:textId="0D323E8D" w:rsidR="00FD54DE" w:rsidRPr="00140822" w:rsidRDefault="00FD54DE" w:rsidP="00F96145">
            <w:pPr>
              <w:spacing w:beforeLines="20" w:before="48" w:afterLines="20" w:after="48"/>
              <w:jc w:val="left"/>
            </w:pPr>
            <w:r w:rsidRPr="001C1A56">
              <w:rPr>
                <w:sz w:val="22"/>
                <w:szCs w:val="22"/>
              </w:rPr>
              <w:t>Relief provided where, as part of a reorganisation of capital of a company, a shareholder surrender</w:t>
            </w:r>
            <w:r w:rsidR="00824D66">
              <w:rPr>
                <w:sz w:val="22"/>
                <w:szCs w:val="22"/>
              </w:rPr>
              <w:t>s</w:t>
            </w:r>
            <w:r w:rsidRPr="001C1A56">
              <w:rPr>
                <w:sz w:val="22"/>
                <w:szCs w:val="22"/>
              </w:rPr>
              <w:t xml:space="preserve"> all shares of a particular class to the company in exchange for shares of a different class of the same company.</w:t>
            </w:r>
          </w:p>
        </w:tc>
        <w:tc>
          <w:tcPr>
            <w:tcW w:w="3117" w:type="dxa"/>
            <w:tcBorders>
              <w:top w:val="single" w:sz="6" w:space="0" w:color="C00000"/>
              <w:bottom w:val="single" w:sz="6" w:space="0" w:color="C00000"/>
            </w:tcBorders>
            <w:shd w:val="clear" w:color="auto" w:fill="FFFFFF" w:themeFill="background1"/>
          </w:tcPr>
          <w:p w14:paraId="1DFB8D3A" w14:textId="3E97B988" w:rsidR="00FD54DE" w:rsidRPr="001C1A56" w:rsidRDefault="00FD54DE" w:rsidP="00F96145">
            <w:pPr>
              <w:spacing w:beforeLines="20" w:before="48" w:afterLines="20" w:after="48"/>
              <w:rPr>
                <w:szCs w:val="22"/>
              </w:rPr>
            </w:pPr>
            <w:r w:rsidRPr="00FD54DE">
              <w:rPr>
                <w:sz w:val="22"/>
              </w:rPr>
              <w:t>As above for 122-A roll-over.</w:t>
            </w:r>
          </w:p>
        </w:tc>
      </w:tr>
      <w:tr w:rsidR="000A3A83" w:rsidRPr="006F14B4" w14:paraId="56511EF9" w14:textId="77777777" w:rsidTr="009B2FDE">
        <w:tc>
          <w:tcPr>
            <w:tcW w:w="2027" w:type="dxa"/>
            <w:tcBorders>
              <w:top w:val="single" w:sz="6" w:space="0" w:color="C00000"/>
              <w:bottom w:val="single" w:sz="6" w:space="0" w:color="C00000"/>
            </w:tcBorders>
            <w:shd w:val="clear" w:color="auto" w:fill="FFFFFF" w:themeFill="background1"/>
          </w:tcPr>
          <w:p w14:paraId="4E1A4401" w14:textId="25140F3B" w:rsidR="000A3A83" w:rsidRDefault="000A3A83" w:rsidP="009B2FDE">
            <w:pPr>
              <w:pStyle w:val="TableColumnHeadingLeft"/>
              <w:spacing w:beforeLines="20" w:before="48" w:after="20"/>
            </w:pPr>
            <w:r>
              <w:t>Exchange of rights or options</w:t>
            </w:r>
          </w:p>
        </w:tc>
        <w:tc>
          <w:tcPr>
            <w:tcW w:w="922" w:type="dxa"/>
            <w:tcBorders>
              <w:top w:val="single" w:sz="6" w:space="0" w:color="C00000"/>
              <w:bottom w:val="single" w:sz="6" w:space="0" w:color="C00000"/>
            </w:tcBorders>
            <w:shd w:val="clear" w:color="auto" w:fill="FFFFFF" w:themeFill="background1"/>
          </w:tcPr>
          <w:p w14:paraId="60AFADAF" w14:textId="77777777" w:rsidR="000A3A83" w:rsidRDefault="000A3A83" w:rsidP="009B2FDE">
            <w:pPr>
              <w:pStyle w:val="TableTextLeft"/>
              <w:spacing w:beforeLines="20" w:before="48" w:after="20"/>
            </w:pPr>
            <w:r>
              <w:t>124-F</w:t>
            </w:r>
          </w:p>
        </w:tc>
        <w:tc>
          <w:tcPr>
            <w:tcW w:w="3572" w:type="dxa"/>
            <w:tcBorders>
              <w:top w:val="single" w:sz="6" w:space="0" w:color="C00000"/>
              <w:bottom w:val="single" w:sz="6" w:space="0" w:color="C00000"/>
            </w:tcBorders>
            <w:shd w:val="clear" w:color="auto" w:fill="FFFFFF" w:themeFill="background1"/>
          </w:tcPr>
          <w:p w14:paraId="4EA6EBD0" w14:textId="77777777" w:rsidR="000A3A83" w:rsidRDefault="000A3A83" w:rsidP="009B2FDE">
            <w:pPr>
              <w:pStyle w:val="TableTextLeft"/>
              <w:spacing w:beforeLines="20" w:before="48" w:after="20"/>
            </w:pPr>
            <w:r>
              <w:t>Relief provided where rights or options to acquire shares in a company or units in a unit trust are exchanged for new rights or options of equivalent or greater value due to a consolidation or subdivision of the shares or units over which the rights or options exist.</w:t>
            </w:r>
          </w:p>
        </w:tc>
        <w:tc>
          <w:tcPr>
            <w:tcW w:w="3117" w:type="dxa"/>
            <w:tcBorders>
              <w:top w:val="single" w:sz="6" w:space="0" w:color="C00000"/>
              <w:bottom w:val="single" w:sz="6" w:space="0" w:color="C00000"/>
            </w:tcBorders>
            <w:shd w:val="clear" w:color="auto" w:fill="FFFFFF" w:themeFill="background1"/>
          </w:tcPr>
          <w:p w14:paraId="74B17136" w14:textId="77777777" w:rsidR="000A3A83" w:rsidRDefault="000A3A83" w:rsidP="009B2FDE">
            <w:pPr>
              <w:pStyle w:val="TableTextLeft"/>
              <w:spacing w:beforeLines="20" w:before="48" w:after="20"/>
            </w:pPr>
            <w:r>
              <w:t>T</w:t>
            </w:r>
            <w:r w:rsidRPr="00130E25">
              <w:t xml:space="preserve">he underlying assets against which the taxpayer has a claim </w:t>
            </w:r>
            <w:r>
              <w:t>has</w:t>
            </w:r>
            <w:r w:rsidRPr="00130E25">
              <w:t xml:space="preserve"> not</w:t>
            </w:r>
            <w:r>
              <w:t xml:space="preserve"> materially </w:t>
            </w:r>
            <w:r w:rsidRPr="00130E25">
              <w:t>change</w:t>
            </w:r>
            <w:r>
              <w:t>d where rights or options are exchanged in this way</w:t>
            </w:r>
          </w:p>
        </w:tc>
      </w:tr>
      <w:tr w:rsidR="00FD54DE" w:rsidRPr="006F14B4" w14:paraId="6A5C97FA" w14:textId="081530BD" w:rsidTr="0063194B">
        <w:tc>
          <w:tcPr>
            <w:tcW w:w="2027" w:type="dxa"/>
            <w:tcBorders>
              <w:top w:val="single" w:sz="6" w:space="0" w:color="C00000"/>
              <w:bottom w:val="single" w:sz="6" w:space="0" w:color="C00000"/>
            </w:tcBorders>
            <w:shd w:val="clear" w:color="auto" w:fill="FFFFFF" w:themeFill="background1"/>
          </w:tcPr>
          <w:p w14:paraId="6A5C97F7" w14:textId="7081502A" w:rsidR="00FD54DE" w:rsidRPr="004246FE" w:rsidRDefault="00FD54DE" w:rsidP="00F96145">
            <w:pPr>
              <w:pStyle w:val="TableColumnHeadingLeft"/>
              <w:spacing w:beforeLines="20" w:before="48" w:afterLines="20" w:after="48"/>
            </w:pPr>
            <w:r>
              <w:t>Change of incorporation</w:t>
            </w:r>
          </w:p>
        </w:tc>
        <w:tc>
          <w:tcPr>
            <w:tcW w:w="922" w:type="dxa"/>
            <w:tcBorders>
              <w:top w:val="single" w:sz="6" w:space="0" w:color="C00000"/>
              <w:bottom w:val="single" w:sz="6" w:space="0" w:color="C00000"/>
            </w:tcBorders>
            <w:shd w:val="clear" w:color="auto" w:fill="FFFFFF" w:themeFill="background1"/>
          </w:tcPr>
          <w:p w14:paraId="201FBA0F" w14:textId="5969F895" w:rsidR="00FD54DE" w:rsidRPr="00314234" w:rsidRDefault="00FD54DE" w:rsidP="00172573">
            <w:pPr>
              <w:pStyle w:val="TableTextLeft"/>
              <w:spacing w:beforeLines="20" w:before="48" w:afterLines="20" w:after="48"/>
            </w:pPr>
            <w:r>
              <w:t>124 - I</w:t>
            </w:r>
          </w:p>
        </w:tc>
        <w:tc>
          <w:tcPr>
            <w:tcW w:w="3572" w:type="dxa"/>
            <w:tcBorders>
              <w:top w:val="single" w:sz="6" w:space="0" w:color="C00000"/>
              <w:bottom w:val="single" w:sz="6" w:space="0" w:color="C00000"/>
            </w:tcBorders>
            <w:shd w:val="clear" w:color="auto" w:fill="FFFFFF" w:themeFill="background1"/>
          </w:tcPr>
          <w:p w14:paraId="74F19DC0" w14:textId="405188DF" w:rsidR="00FD54DE" w:rsidRDefault="00FD54DE" w:rsidP="00F96145">
            <w:pPr>
              <w:pStyle w:val="TableTextLeft"/>
              <w:spacing w:beforeLines="20" w:before="48" w:afterLines="20" w:after="48"/>
            </w:pPr>
            <w:r>
              <w:t xml:space="preserve">Relief provided for members of a body that is incorporated under one law and is converted to, or replaced with, a company incorporated under the </w:t>
            </w:r>
            <w:r w:rsidRPr="00ED30D0">
              <w:rPr>
                <w:i/>
              </w:rPr>
              <w:t xml:space="preserve">Corporations Act 2001 </w:t>
            </w:r>
            <w:r>
              <w:t xml:space="preserve">or similar </w:t>
            </w:r>
            <w:r>
              <w:lastRenderedPageBreak/>
              <w:t xml:space="preserve">foreign law, or the </w:t>
            </w:r>
            <w:r>
              <w:rPr>
                <w:i/>
              </w:rPr>
              <w:t xml:space="preserve">Corporations (Aboriginal and Torres Strait Islander) Act 2006 </w:t>
            </w:r>
            <w:r>
              <w:t xml:space="preserve">(CATSI Act). </w:t>
            </w:r>
          </w:p>
          <w:p w14:paraId="6BC25084" w14:textId="740990AB" w:rsidR="00FD54DE" w:rsidRDefault="00FD54DE" w:rsidP="00F96145">
            <w:pPr>
              <w:pStyle w:val="TableTextLeft"/>
              <w:spacing w:beforeLines="20" w:before="48" w:afterLines="20" w:after="48"/>
            </w:pPr>
            <w:r>
              <w:t xml:space="preserve">Subdivision 620-A provides roll-over relief for the assets of the relevant body. </w:t>
            </w:r>
          </w:p>
          <w:p w14:paraId="6A5C97F9" w14:textId="464F6B60" w:rsidR="00FD54DE" w:rsidRPr="004246FE" w:rsidRDefault="00FD54DE" w:rsidP="00F96145">
            <w:pPr>
              <w:pStyle w:val="TableTextLeft"/>
              <w:spacing w:beforeLines="20" w:before="48" w:afterLines="20" w:after="48"/>
            </w:pPr>
          </w:p>
        </w:tc>
        <w:tc>
          <w:tcPr>
            <w:tcW w:w="3117" w:type="dxa"/>
            <w:tcBorders>
              <w:top w:val="single" w:sz="6" w:space="0" w:color="C00000"/>
              <w:bottom w:val="single" w:sz="6" w:space="0" w:color="C00000"/>
            </w:tcBorders>
            <w:shd w:val="clear" w:color="auto" w:fill="FFFFFF" w:themeFill="background1"/>
          </w:tcPr>
          <w:p w14:paraId="6AFAF67F" w14:textId="77777777" w:rsidR="00FD54DE" w:rsidRDefault="00FD54DE" w:rsidP="00F96145">
            <w:pPr>
              <w:pStyle w:val="TableTextLeft"/>
              <w:spacing w:beforeLines="20" w:before="48" w:afterLines="20" w:after="48"/>
            </w:pPr>
            <w:r>
              <w:lastRenderedPageBreak/>
              <w:t xml:space="preserve">To accommodate business practices, such as when bodies are wound up and subsequently reincorporated, and when additional shares are issued on </w:t>
            </w:r>
            <w:r>
              <w:lastRenderedPageBreak/>
              <w:t xml:space="preserve">incorporation to reflect all of the interests and rights held in the original body. </w:t>
            </w:r>
          </w:p>
          <w:p w14:paraId="2FFB7503" w14:textId="4BCC443B" w:rsidR="00FD54DE" w:rsidRDefault="00FD54DE" w:rsidP="00F96145">
            <w:pPr>
              <w:pStyle w:val="TableTextLeft"/>
              <w:spacing w:beforeLines="20" w:before="48" w:afterLines="20" w:after="48"/>
            </w:pPr>
            <w:r>
              <w:t>The 2012 amendments extended roll-over to indigenous bodies changing their incorporation without CGT consequences.</w:t>
            </w:r>
          </w:p>
        </w:tc>
      </w:tr>
      <w:tr w:rsidR="00FD54DE" w:rsidRPr="006F14B4" w14:paraId="6A5C9800" w14:textId="299A896F" w:rsidTr="0063194B">
        <w:tc>
          <w:tcPr>
            <w:tcW w:w="2027" w:type="dxa"/>
            <w:tcBorders>
              <w:top w:val="single" w:sz="6" w:space="0" w:color="C00000"/>
              <w:bottom w:val="single" w:sz="6" w:space="0" w:color="C00000"/>
            </w:tcBorders>
            <w:shd w:val="clear" w:color="auto" w:fill="FFFFFF" w:themeFill="background1"/>
          </w:tcPr>
          <w:p w14:paraId="6A5C97FE" w14:textId="0B7FF8B7" w:rsidR="00FD54DE" w:rsidRPr="004246FE" w:rsidRDefault="00FD54DE" w:rsidP="00F96145">
            <w:pPr>
              <w:pStyle w:val="TableColumnHeadingLeft"/>
              <w:spacing w:beforeLines="20" w:before="48" w:afterLines="20" w:after="48"/>
              <w:rPr>
                <w:sz w:val="22"/>
              </w:rPr>
            </w:pPr>
            <w:r>
              <w:lastRenderedPageBreak/>
              <w:t>Trust to company</w:t>
            </w:r>
          </w:p>
        </w:tc>
        <w:tc>
          <w:tcPr>
            <w:tcW w:w="922" w:type="dxa"/>
            <w:tcBorders>
              <w:top w:val="single" w:sz="6" w:space="0" w:color="C00000"/>
              <w:bottom w:val="single" w:sz="6" w:space="0" w:color="C00000"/>
            </w:tcBorders>
            <w:shd w:val="clear" w:color="auto" w:fill="FFFFFF" w:themeFill="background1"/>
          </w:tcPr>
          <w:p w14:paraId="6F058A36" w14:textId="5C7C8B38" w:rsidR="00FD54DE" w:rsidRPr="004246FE" w:rsidRDefault="00FD54DE" w:rsidP="00172573">
            <w:pPr>
              <w:pStyle w:val="TableTextLeft"/>
              <w:spacing w:beforeLines="20" w:before="48" w:afterLines="20" w:after="48"/>
            </w:pPr>
            <w:r>
              <w:t>124-N</w:t>
            </w:r>
          </w:p>
        </w:tc>
        <w:tc>
          <w:tcPr>
            <w:tcW w:w="3572" w:type="dxa"/>
            <w:tcBorders>
              <w:top w:val="single" w:sz="6" w:space="0" w:color="C00000"/>
              <w:bottom w:val="single" w:sz="6" w:space="0" w:color="C00000"/>
            </w:tcBorders>
            <w:shd w:val="clear" w:color="auto" w:fill="FFFFFF" w:themeFill="background1"/>
          </w:tcPr>
          <w:p w14:paraId="30CF6BF1" w14:textId="015386B0" w:rsidR="00FD54DE" w:rsidRDefault="00FD54DE" w:rsidP="00F96145">
            <w:pPr>
              <w:pStyle w:val="TableTextLeft"/>
              <w:spacing w:beforeLines="20" w:before="48" w:afterLines="20" w:after="48"/>
            </w:pPr>
            <w:r>
              <w:t xml:space="preserve">Relief for the transfer of assets from a fixed trust to a company, with the fixed trust ceasing to exist. </w:t>
            </w:r>
          </w:p>
          <w:p w14:paraId="6A5C97FF" w14:textId="1960EF20" w:rsidR="00FD54DE" w:rsidRPr="004246FE" w:rsidRDefault="00FD54DE" w:rsidP="00F96145">
            <w:pPr>
              <w:pStyle w:val="TableTextLeft"/>
              <w:spacing w:beforeLines="20" w:before="48" w:afterLines="20" w:after="48"/>
              <w:rPr>
                <w:b/>
                <w:bCs/>
                <w:color w:val="002060"/>
                <w:szCs w:val="24"/>
              </w:rPr>
            </w:pPr>
          </w:p>
        </w:tc>
        <w:tc>
          <w:tcPr>
            <w:tcW w:w="3117" w:type="dxa"/>
            <w:tcBorders>
              <w:top w:val="single" w:sz="6" w:space="0" w:color="C00000"/>
              <w:bottom w:val="single" w:sz="6" w:space="0" w:color="C00000"/>
            </w:tcBorders>
            <w:shd w:val="clear" w:color="auto" w:fill="FFFFFF" w:themeFill="background1"/>
          </w:tcPr>
          <w:p w14:paraId="345D7353" w14:textId="77777777" w:rsidR="00FD54DE" w:rsidRDefault="00FD54DE" w:rsidP="00F96145">
            <w:pPr>
              <w:pStyle w:val="TableTextLeft"/>
              <w:spacing w:beforeLines="20" w:before="48" w:afterLines="20" w:after="48"/>
            </w:pPr>
            <w:r>
              <w:t xml:space="preserve">To increase the commercial flexibility available in selecting an appropriate business form for the needs of business. </w:t>
            </w:r>
          </w:p>
          <w:p w14:paraId="28972178" w14:textId="001E13EB" w:rsidR="00FD54DE" w:rsidRDefault="00FD54DE" w:rsidP="00F96145">
            <w:pPr>
              <w:pStyle w:val="TableTextLeft"/>
              <w:spacing w:beforeLines="20" w:before="48" w:afterLines="20" w:after="48"/>
            </w:pPr>
            <w:r>
              <w:t>Initially, this roll-over was proposed as transitional relief as part of the unified entity regime proposal in the ‘</w:t>
            </w:r>
            <w:r w:rsidRPr="00181140">
              <w:rPr>
                <w:i/>
              </w:rPr>
              <w:t>A</w:t>
            </w:r>
            <w:r>
              <w:t xml:space="preserve"> </w:t>
            </w:r>
            <w:r>
              <w:rPr>
                <w:i/>
              </w:rPr>
              <w:t xml:space="preserve">Tax System Redesigned’ </w:t>
            </w:r>
            <w:r>
              <w:t>reform program. Its stated aim initially was</w:t>
            </w:r>
            <w:r>
              <w:rPr>
                <w:i/>
              </w:rPr>
              <w:t xml:space="preserve"> </w:t>
            </w:r>
            <w:r>
              <w:t>to add to the neutrality and consistency of the tax system, allowing commercial decisions on business structure to be made without undue effects from tax consequences.</w:t>
            </w:r>
          </w:p>
        </w:tc>
      </w:tr>
      <w:tr w:rsidR="00FD54DE" w:rsidRPr="006F14B4" w14:paraId="6A5C9806" w14:textId="238DC161" w:rsidTr="0063194B">
        <w:tc>
          <w:tcPr>
            <w:tcW w:w="2027" w:type="dxa"/>
            <w:tcBorders>
              <w:top w:val="single" w:sz="6" w:space="0" w:color="C00000"/>
              <w:bottom w:val="single" w:sz="6" w:space="0" w:color="C00000"/>
            </w:tcBorders>
            <w:shd w:val="clear" w:color="auto" w:fill="FFFFFF" w:themeFill="background1"/>
          </w:tcPr>
          <w:p w14:paraId="6A5C9804" w14:textId="23FC3592" w:rsidR="00FD54DE" w:rsidRPr="004246FE" w:rsidRDefault="00FD54DE" w:rsidP="00F96145">
            <w:pPr>
              <w:pStyle w:val="TableColumnHeadingLeft"/>
              <w:spacing w:beforeLines="20" w:before="48" w:afterLines="20" w:after="48"/>
            </w:pPr>
            <w:r>
              <w:t>Exchange of stapled ownership interests for ownership interests in a unit trust</w:t>
            </w:r>
          </w:p>
        </w:tc>
        <w:tc>
          <w:tcPr>
            <w:tcW w:w="922" w:type="dxa"/>
            <w:tcBorders>
              <w:top w:val="single" w:sz="6" w:space="0" w:color="C00000"/>
              <w:bottom w:val="single" w:sz="6" w:space="0" w:color="C00000"/>
            </w:tcBorders>
            <w:shd w:val="clear" w:color="auto" w:fill="FFFFFF" w:themeFill="background1"/>
          </w:tcPr>
          <w:p w14:paraId="2EE3620F" w14:textId="52BA962F" w:rsidR="00FD54DE" w:rsidRPr="004246FE" w:rsidRDefault="00FD54DE" w:rsidP="00172573">
            <w:pPr>
              <w:pStyle w:val="TableTextLeft"/>
              <w:spacing w:beforeLines="20" w:before="48" w:afterLines="20" w:after="48"/>
            </w:pPr>
            <w:r>
              <w:t>124-Q</w:t>
            </w:r>
          </w:p>
        </w:tc>
        <w:tc>
          <w:tcPr>
            <w:tcW w:w="3572" w:type="dxa"/>
            <w:tcBorders>
              <w:top w:val="single" w:sz="6" w:space="0" w:color="C00000"/>
              <w:bottom w:val="single" w:sz="6" w:space="0" w:color="C00000"/>
            </w:tcBorders>
            <w:shd w:val="clear" w:color="auto" w:fill="FFFFFF" w:themeFill="background1"/>
          </w:tcPr>
          <w:p w14:paraId="600E4622" w14:textId="67418AC6" w:rsidR="00FD54DE" w:rsidRDefault="00FD54DE" w:rsidP="00F96145">
            <w:pPr>
              <w:pStyle w:val="TableTextLeft"/>
              <w:spacing w:beforeLines="20" w:before="48" w:afterLines="20" w:after="48"/>
            </w:pPr>
            <w:r>
              <w:t>Relief for investors in a stapled group, such as Australian listed property trusts, where there has been a restructure involving the interposition of a unit trust between the investors and the stapled entities.</w:t>
            </w:r>
          </w:p>
          <w:p w14:paraId="6A5C9805" w14:textId="2E673E3C" w:rsidR="00FD54DE" w:rsidRPr="004246FE" w:rsidRDefault="00FD54DE" w:rsidP="00F96145">
            <w:pPr>
              <w:pStyle w:val="TableTextLeft"/>
              <w:spacing w:beforeLines="20" w:before="48" w:afterLines="20" w:after="48"/>
            </w:pPr>
          </w:p>
        </w:tc>
        <w:tc>
          <w:tcPr>
            <w:tcW w:w="3117" w:type="dxa"/>
            <w:tcBorders>
              <w:top w:val="single" w:sz="6" w:space="0" w:color="C00000"/>
              <w:bottom w:val="single" w:sz="6" w:space="0" w:color="C00000"/>
            </w:tcBorders>
            <w:shd w:val="clear" w:color="auto" w:fill="FFFFFF" w:themeFill="background1"/>
          </w:tcPr>
          <w:p w14:paraId="10407B6F" w14:textId="7CF72339" w:rsidR="00FD54DE" w:rsidRDefault="00701041" w:rsidP="00F96145">
            <w:pPr>
              <w:pStyle w:val="TableTextLeft"/>
              <w:spacing w:beforeLines="20" w:before="48" w:afterLines="20" w:after="48"/>
            </w:pPr>
            <w:r>
              <w:t>To enhance the international competitiveness of Australian property trusts and facilitate their expansion into offshore markets. Stapled groups have become increasingly dependent on the acquisition of overseas assets in order to increase their competitive position.</w:t>
            </w:r>
          </w:p>
        </w:tc>
      </w:tr>
      <w:tr w:rsidR="00FD54DE" w:rsidRPr="006F14B4" w14:paraId="6A5C980C" w14:textId="2D8D9A39" w:rsidTr="0063194B">
        <w:tc>
          <w:tcPr>
            <w:tcW w:w="2027" w:type="dxa"/>
            <w:tcBorders>
              <w:top w:val="single" w:sz="6" w:space="0" w:color="C00000"/>
              <w:bottom w:val="single" w:sz="6" w:space="0" w:color="C00000"/>
            </w:tcBorders>
            <w:shd w:val="clear" w:color="auto" w:fill="FFFFFF" w:themeFill="background1"/>
          </w:tcPr>
          <w:p w14:paraId="6A5C980A" w14:textId="6654BEEB" w:rsidR="00FD54DE" w:rsidRPr="004246FE" w:rsidRDefault="00FD54DE" w:rsidP="00F96145">
            <w:pPr>
              <w:pStyle w:val="TableColumnHeadingLeft"/>
              <w:spacing w:beforeLines="20" w:before="48" w:afterLines="20" w:after="48"/>
            </w:pPr>
            <w:r>
              <w:t>Demerger relief</w:t>
            </w:r>
          </w:p>
        </w:tc>
        <w:tc>
          <w:tcPr>
            <w:tcW w:w="922" w:type="dxa"/>
            <w:tcBorders>
              <w:top w:val="single" w:sz="6" w:space="0" w:color="C00000"/>
              <w:bottom w:val="single" w:sz="6" w:space="0" w:color="C00000"/>
            </w:tcBorders>
            <w:shd w:val="clear" w:color="auto" w:fill="FFFFFF" w:themeFill="background1"/>
          </w:tcPr>
          <w:p w14:paraId="5B4A3E7C" w14:textId="2460ABDA" w:rsidR="00FD54DE" w:rsidRPr="00722430" w:rsidRDefault="00FD54DE" w:rsidP="00172573">
            <w:pPr>
              <w:pStyle w:val="TableTextLeft"/>
              <w:spacing w:beforeLines="20" w:before="48" w:afterLines="20" w:after="48"/>
            </w:pPr>
            <w:r>
              <w:t>125</w:t>
            </w:r>
          </w:p>
        </w:tc>
        <w:tc>
          <w:tcPr>
            <w:tcW w:w="3572" w:type="dxa"/>
            <w:tcBorders>
              <w:top w:val="single" w:sz="6" w:space="0" w:color="C00000"/>
              <w:bottom w:val="single" w:sz="6" w:space="0" w:color="C00000"/>
            </w:tcBorders>
            <w:shd w:val="clear" w:color="auto" w:fill="FFFFFF" w:themeFill="background1"/>
          </w:tcPr>
          <w:p w14:paraId="0C764059" w14:textId="34787DA0" w:rsidR="00FD54DE" w:rsidRDefault="00FD54DE" w:rsidP="00F96145">
            <w:pPr>
              <w:pStyle w:val="TableTextLeft"/>
              <w:spacing w:beforeLines="20" w:before="48" w:afterLines="20" w:after="48"/>
            </w:pPr>
            <w:r>
              <w:t>Relief at both the shareholder</w:t>
            </w:r>
            <w:r w:rsidR="00824D66">
              <w:t>/unitholder</w:t>
            </w:r>
            <w:r>
              <w:t xml:space="preserve"> and entity level when a corporate or trust group restructures by splitting into two or more entities or groups, with the underlying owners </w:t>
            </w:r>
            <w:r w:rsidR="00824D66">
              <w:t xml:space="preserve">becoming </w:t>
            </w:r>
            <w:r>
              <w:t>hold</w:t>
            </w:r>
            <w:r w:rsidR="00824D66">
              <w:t xml:space="preserve">ers </w:t>
            </w:r>
            <w:r>
              <w:t xml:space="preserve">of those entities or groups directly. </w:t>
            </w:r>
          </w:p>
          <w:p w14:paraId="6A5C980B" w14:textId="55EB1A56" w:rsidR="00FD54DE" w:rsidRPr="004246FE" w:rsidRDefault="00FD54DE" w:rsidP="00F96145">
            <w:pPr>
              <w:pStyle w:val="TableTextLeft"/>
              <w:spacing w:beforeLines="20" w:before="48" w:afterLines="20" w:after="48"/>
            </w:pPr>
          </w:p>
        </w:tc>
        <w:tc>
          <w:tcPr>
            <w:tcW w:w="3117" w:type="dxa"/>
            <w:tcBorders>
              <w:top w:val="single" w:sz="6" w:space="0" w:color="C00000"/>
              <w:bottom w:val="single" w:sz="6" w:space="0" w:color="C00000"/>
            </w:tcBorders>
            <w:shd w:val="clear" w:color="auto" w:fill="FFFFFF" w:themeFill="background1"/>
          </w:tcPr>
          <w:p w14:paraId="2C623847" w14:textId="16E2FD61" w:rsidR="00FD54DE" w:rsidRDefault="00701041" w:rsidP="00F96145">
            <w:pPr>
              <w:pStyle w:val="TableTextLeft"/>
              <w:spacing w:beforeLines="20" w:before="48" w:afterLines="20" w:after="48"/>
            </w:pPr>
            <w:r>
              <w:t>To increase efficiency by allowing greater flexibility in restructuring businesses and ensuring that tax considerations are not an impediment to such restructuring. It would provide an overall benefit to the economy and enhance the competitiveness of Australia’s business sector.</w:t>
            </w:r>
          </w:p>
        </w:tc>
      </w:tr>
      <w:tr w:rsidR="00FD54DE" w:rsidRPr="006F14B4" w14:paraId="6A5C980F" w14:textId="38ABBA6B" w:rsidTr="0063194B">
        <w:tc>
          <w:tcPr>
            <w:tcW w:w="2027" w:type="dxa"/>
            <w:tcBorders>
              <w:top w:val="single" w:sz="6" w:space="0" w:color="C00000"/>
              <w:bottom w:val="single" w:sz="6" w:space="0" w:color="C00000"/>
            </w:tcBorders>
            <w:shd w:val="clear" w:color="auto" w:fill="FFFFFF" w:themeFill="background1"/>
          </w:tcPr>
          <w:p w14:paraId="6A5C980D" w14:textId="707FF2ED" w:rsidR="00FD54DE" w:rsidRPr="004246FE" w:rsidRDefault="00FD54DE" w:rsidP="00F96145">
            <w:pPr>
              <w:pStyle w:val="TableColumnHeadingLeft"/>
              <w:spacing w:beforeLines="20" w:before="48" w:afterLines="20" w:after="48"/>
            </w:pPr>
            <w:r>
              <w:lastRenderedPageBreak/>
              <w:t>Companies in the same wholly-owned group</w:t>
            </w:r>
          </w:p>
        </w:tc>
        <w:tc>
          <w:tcPr>
            <w:tcW w:w="922" w:type="dxa"/>
            <w:tcBorders>
              <w:top w:val="single" w:sz="6" w:space="0" w:color="C00000"/>
              <w:bottom w:val="single" w:sz="6" w:space="0" w:color="C00000"/>
            </w:tcBorders>
            <w:shd w:val="clear" w:color="auto" w:fill="FFFFFF" w:themeFill="background1"/>
          </w:tcPr>
          <w:p w14:paraId="7067D8D3" w14:textId="7A55AF91" w:rsidR="00FD54DE" w:rsidRPr="004246FE" w:rsidRDefault="00FD54DE" w:rsidP="00172573">
            <w:pPr>
              <w:pStyle w:val="TableTextLeft"/>
              <w:spacing w:beforeLines="20" w:before="48" w:afterLines="20" w:after="48"/>
            </w:pPr>
            <w:r>
              <w:t>126-B</w:t>
            </w:r>
          </w:p>
        </w:tc>
        <w:tc>
          <w:tcPr>
            <w:tcW w:w="3572" w:type="dxa"/>
            <w:tcBorders>
              <w:top w:val="single" w:sz="6" w:space="0" w:color="C00000"/>
              <w:bottom w:val="single" w:sz="6" w:space="0" w:color="C00000"/>
            </w:tcBorders>
            <w:shd w:val="clear" w:color="auto" w:fill="FFFFFF" w:themeFill="background1"/>
          </w:tcPr>
          <w:p w14:paraId="6A5C980E" w14:textId="1E3FE184" w:rsidR="00FD54DE" w:rsidRPr="004246FE" w:rsidRDefault="00FD54DE" w:rsidP="00F96145">
            <w:pPr>
              <w:pStyle w:val="TableTextLeft"/>
              <w:spacing w:beforeLines="20" w:before="48" w:afterLines="20" w:after="48"/>
            </w:pPr>
            <w:r>
              <w:t>Relief for the transfer of assets between two commonly-owned companies and at least one of the companies is a foreign resident. Introduced as part of the originating CGT package, it now has limited scope as a result of the introduction of the consolidation regime.</w:t>
            </w:r>
          </w:p>
        </w:tc>
        <w:tc>
          <w:tcPr>
            <w:tcW w:w="3117" w:type="dxa"/>
            <w:tcBorders>
              <w:top w:val="single" w:sz="6" w:space="0" w:color="C00000"/>
              <w:bottom w:val="single" w:sz="6" w:space="0" w:color="C00000"/>
            </w:tcBorders>
            <w:shd w:val="clear" w:color="auto" w:fill="FFFFFF" w:themeFill="background1"/>
          </w:tcPr>
          <w:p w14:paraId="2F1B69EC" w14:textId="32CB2470" w:rsidR="00FD54DE" w:rsidRDefault="00701041" w:rsidP="00F96145">
            <w:pPr>
              <w:pStyle w:val="TableTextLeft"/>
              <w:spacing w:beforeLines="20" w:before="48" w:afterLines="20" w:after="48"/>
            </w:pPr>
            <w:r>
              <w:t>As above for 122-A roll-over.</w:t>
            </w:r>
          </w:p>
        </w:tc>
      </w:tr>
      <w:tr w:rsidR="000A3A83" w:rsidRPr="006F14B4" w14:paraId="05D6C900" w14:textId="77777777" w:rsidTr="009B2FDE">
        <w:tc>
          <w:tcPr>
            <w:tcW w:w="2027" w:type="dxa"/>
            <w:tcBorders>
              <w:top w:val="single" w:sz="6" w:space="0" w:color="C00000"/>
              <w:bottom w:val="single" w:sz="6" w:space="0" w:color="C00000"/>
            </w:tcBorders>
            <w:shd w:val="clear" w:color="auto" w:fill="FFFFFF" w:themeFill="background1"/>
          </w:tcPr>
          <w:p w14:paraId="713456B2" w14:textId="77777777" w:rsidR="000A3A83" w:rsidRDefault="000A3A83" w:rsidP="009B2FDE">
            <w:pPr>
              <w:pStyle w:val="TableColumnHeadingLeft"/>
              <w:spacing w:beforeLines="20" w:before="48" w:after="20"/>
            </w:pPr>
            <w:r>
              <w:t>Changes to trust deeds</w:t>
            </w:r>
          </w:p>
        </w:tc>
        <w:tc>
          <w:tcPr>
            <w:tcW w:w="922" w:type="dxa"/>
            <w:tcBorders>
              <w:top w:val="single" w:sz="6" w:space="0" w:color="C00000"/>
              <w:bottom w:val="single" w:sz="6" w:space="0" w:color="C00000"/>
            </w:tcBorders>
            <w:shd w:val="clear" w:color="auto" w:fill="FFFFFF" w:themeFill="background1"/>
          </w:tcPr>
          <w:p w14:paraId="7FEEE04C" w14:textId="77777777" w:rsidR="000A3A83" w:rsidRDefault="000A3A83" w:rsidP="009B2FDE">
            <w:pPr>
              <w:pStyle w:val="TableTextLeft"/>
              <w:spacing w:beforeLines="20" w:before="48" w:after="20"/>
            </w:pPr>
            <w:r>
              <w:t>126-C</w:t>
            </w:r>
          </w:p>
        </w:tc>
        <w:tc>
          <w:tcPr>
            <w:tcW w:w="3572" w:type="dxa"/>
            <w:tcBorders>
              <w:top w:val="single" w:sz="6" w:space="0" w:color="C00000"/>
              <w:bottom w:val="single" w:sz="6" w:space="0" w:color="C00000"/>
            </w:tcBorders>
            <w:shd w:val="clear" w:color="auto" w:fill="FFFFFF" w:themeFill="background1"/>
          </w:tcPr>
          <w:p w14:paraId="0A1FCAB5" w14:textId="77777777" w:rsidR="000A3A83" w:rsidRDefault="000A3A83" w:rsidP="009B2FDE">
            <w:pPr>
              <w:pStyle w:val="TableTextLeft"/>
              <w:spacing w:beforeLines="20" w:before="48" w:after="20"/>
            </w:pPr>
            <w:r>
              <w:t>Relief for the amendment to, or the replacement of, the trust deed of a complying approved deposit fund, a complying superannuation fund, or a fund that accepts worker entitlement contributions.</w:t>
            </w:r>
          </w:p>
        </w:tc>
        <w:tc>
          <w:tcPr>
            <w:tcW w:w="3117" w:type="dxa"/>
            <w:tcBorders>
              <w:top w:val="single" w:sz="6" w:space="0" w:color="C00000"/>
              <w:bottom w:val="single" w:sz="6" w:space="0" w:color="C00000"/>
            </w:tcBorders>
            <w:shd w:val="clear" w:color="auto" w:fill="FFFFFF" w:themeFill="background1"/>
          </w:tcPr>
          <w:p w14:paraId="00B0486A" w14:textId="77777777" w:rsidR="000A3A83" w:rsidRDefault="000A3A83" w:rsidP="009B2FDE">
            <w:pPr>
              <w:pStyle w:val="TableTextLeft"/>
              <w:spacing w:beforeLines="20" w:before="48" w:after="20"/>
            </w:pPr>
            <w:r>
              <w:t>To cater for the conversions of approved deposit funds to a superannuation fund, or the amendment or replacement of trust deeds for such funds.</w:t>
            </w:r>
          </w:p>
        </w:tc>
      </w:tr>
      <w:tr w:rsidR="00FD54DE" w:rsidRPr="006F14B4" w14:paraId="6A5C9812" w14:textId="7863A57B" w:rsidTr="0063194B">
        <w:tc>
          <w:tcPr>
            <w:tcW w:w="2027" w:type="dxa"/>
            <w:tcBorders>
              <w:top w:val="single" w:sz="6" w:space="0" w:color="C00000"/>
              <w:bottom w:val="single" w:sz="6" w:space="0" w:color="C00000"/>
            </w:tcBorders>
            <w:shd w:val="clear" w:color="auto" w:fill="FFFFFF" w:themeFill="background1"/>
          </w:tcPr>
          <w:p w14:paraId="6A5C9810" w14:textId="37F2EF5B" w:rsidR="00FD54DE" w:rsidRPr="004246FE" w:rsidRDefault="00FD54DE" w:rsidP="00F96145">
            <w:pPr>
              <w:pStyle w:val="TableColumnHeadingLeft"/>
              <w:spacing w:beforeLines="20" w:before="48" w:afterLines="20" w:after="48"/>
            </w:pPr>
            <w:r>
              <w:t>Transfer of assets between certain trusts</w:t>
            </w:r>
          </w:p>
        </w:tc>
        <w:tc>
          <w:tcPr>
            <w:tcW w:w="922" w:type="dxa"/>
            <w:tcBorders>
              <w:top w:val="single" w:sz="6" w:space="0" w:color="C00000"/>
              <w:bottom w:val="single" w:sz="6" w:space="0" w:color="C00000"/>
            </w:tcBorders>
            <w:shd w:val="clear" w:color="auto" w:fill="FFFFFF" w:themeFill="background1"/>
          </w:tcPr>
          <w:p w14:paraId="4035A600" w14:textId="25770CC6" w:rsidR="00FD54DE" w:rsidRDefault="00FD54DE" w:rsidP="00172573">
            <w:pPr>
              <w:pStyle w:val="TableTextLeft"/>
              <w:spacing w:beforeLines="20" w:before="48" w:afterLines="20" w:after="48"/>
            </w:pPr>
            <w:r>
              <w:t>126-G</w:t>
            </w:r>
          </w:p>
        </w:tc>
        <w:tc>
          <w:tcPr>
            <w:tcW w:w="3572" w:type="dxa"/>
            <w:tcBorders>
              <w:top w:val="single" w:sz="6" w:space="0" w:color="C00000"/>
              <w:bottom w:val="single" w:sz="6" w:space="0" w:color="C00000"/>
            </w:tcBorders>
            <w:shd w:val="clear" w:color="auto" w:fill="FFFFFF" w:themeFill="background1"/>
          </w:tcPr>
          <w:p w14:paraId="315ABE09" w14:textId="77777777" w:rsidR="00FD54DE" w:rsidRDefault="00FD54DE" w:rsidP="00F96145">
            <w:pPr>
              <w:pStyle w:val="TableTextLeft"/>
              <w:spacing w:beforeLines="20" w:before="48" w:afterLines="20" w:after="48"/>
            </w:pPr>
            <w:r>
              <w:t>Relief for the transfer of assets between fixed trusts with the same beneficiaries, each of which has the same interests in each trust.</w:t>
            </w:r>
          </w:p>
          <w:p w14:paraId="6A5C9811" w14:textId="40277FD0" w:rsidR="00FD54DE" w:rsidRPr="004246FE" w:rsidRDefault="00FD54DE" w:rsidP="00F96145">
            <w:pPr>
              <w:pStyle w:val="TableTextLeft"/>
              <w:spacing w:beforeLines="20" w:before="48" w:afterLines="20" w:after="48"/>
            </w:pPr>
          </w:p>
        </w:tc>
        <w:tc>
          <w:tcPr>
            <w:tcW w:w="3117" w:type="dxa"/>
            <w:tcBorders>
              <w:top w:val="single" w:sz="6" w:space="0" w:color="C00000"/>
              <w:bottom w:val="single" w:sz="6" w:space="0" w:color="C00000"/>
            </w:tcBorders>
            <w:shd w:val="clear" w:color="auto" w:fill="FFFFFF" w:themeFill="background1"/>
          </w:tcPr>
          <w:p w14:paraId="21D057E0" w14:textId="359C55E8" w:rsidR="00FD54DE" w:rsidRDefault="00701041" w:rsidP="00F96145">
            <w:pPr>
              <w:pStyle w:val="TableTextLeft"/>
              <w:spacing w:beforeLines="20" w:before="48" w:afterLines="20" w:after="48"/>
            </w:pPr>
            <w:r>
              <w:t>To allow eligible trusts to restructure businesses or investment funds when they need to without the undue impediment of cap</w:t>
            </w:r>
            <w:r w:rsidR="00BF0B9D">
              <w:t>ital gains tax considerations.</w:t>
            </w:r>
          </w:p>
        </w:tc>
      </w:tr>
      <w:tr w:rsidR="00DD4C95" w:rsidRPr="006F14B4" w14:paraId="3792C199" w14:textId="77777777" w:rsidTr="0008037B">
        <w:tc>
          <w:tcPr>
            <w:tcW w:w="2027" w:type="dxa"/>
            <w:tcBorders>
              <w:top w:val="single" w:sz="6" w:space="0" w:color="C00000"/>
              <w:bottom w:val="single" w:sz="6" w:space="0" w:color="C00000"/>
            </w:tcBorders>
            <w:shd w:val="clear" w:color="auto" w:fill="FFFFFF" w:themeFill="background1"/>
          </w:tcPr>
          <w:p w14:paraId="5A737A0F" w14:textId="77777777" w:rsidR="00DD4C95" w:rsidRDefault="00DD4C95" w:rsidP="0008037B">
            <w:pPr>
              <w:pStyle w:val="TableColumnHeadingLeft"/>
              <w:spacing w:before="20" w:after="20"/>
            </w:pPr>
            <w:r>
              <w:t>Small business restructure roll-over</w:t>
            </w:r>
            <w:r w:rsidRPr="00413F31">
              <w:t>*†</w:t>
            </w:r>
          </w:p>
        </w:tc>
        <w:tc>
          <w:tcPr>
            <w:tcW w:w="922" w:type="dxa"/>
            <w:tcBorders>
              <w:top w:val="single" w:sz="6" w:space="0" w:color="C00000"/>
              <w:bottom w:val="single" w:sz="6" w:space="0" w:color="C00000"/>
            </w:tcBorders>
            <w:shd w:val="clear" w:color="auto" w:fill="FFFFFF" w:themeFill="background1"/>
          </w:tcPr>
          <w:p w14:paraId="1B1E7329" w14:textId="77777777" w:rsidR="00DD4C95" w:rsidRDefault="00DD4C95" w:rsidP="0008037B">
            <w:pPr>
              <w:pStyle w:val="TableTextLeft"/>
              <w:spacing w:before="20" w:after="20"/>
            </w:pPr>
            <w:r>
              <w:t>328-G</w:t>
            </w:r>
          </w:p>
        </w:tc>
        <w:tc>
          <w:tcPr>
            <w:tcW w:w="3572" w:type="dxa"/>
            <w:tcBorders>
              <w:top w:val="single" w:sz="6" w:space="0" w:color="C00000"/>
              <w:bottom w:val="single" w:sz="6" w:space="0" w:color="C00000"/>
            </w:tcBorders>
            <w:shd w:val="clear" w:color="auto" w:fill="FFFFFF" w:themeFill="background1"/>
          </w:tcPr>
          <w:p w14:paraId="7A3499F9" w14:textId="77777777" w:rsidR="00DD4C95" w:rsidRPr="006212B3" w:rsidRDefault="00DD4C95" w:rsidP="0008037B">
            <w:pPr>
              <w:pStyle w:val="TableTextLeft"/>
              <w:spacing w:beforeLines="20" w:before="48" w:afterLines="20" w:after="48"/>
              <w:rPr>
                <w:bCs/>
                <w:color w:val="auto"/>
                <w:lang w:val="en"/>
              </w:rPr>
            </w:pPr>
            <w:r w:rsidRPr="006212B3">
              <w:rPr>
                <w:bCs/>
                <w:color w:val="auto"/>
                <w:lang w:val="en"/>
              </w:rPr>
              <w:t xml:space="preserve">Relief for a small business entity that restructures the ownership of the assets of the business without changing the ultimate economic ownership of the assets. </w:t>
            </w:r>
          </w:p>
          <w:p w14:paraId="4F03DA7F" w14:textId="77777777" w:rsidR="00DD4C95" w:rsidRDefault="00DD4C95" w:rsidP="0008037B">
            <w:pPr>
              <w:pStyle w:val="TableTextLeft"/>
              <w:spacing w:before="20" w:after="20"/>
            </w:pPr>
          </w:p>
        </w:tc>
        <w:tc>
          <w:tcPr>
            <w:tcW w:w="3117" w:type="dxa"/>
            <w:tcBorders>
              <w:top w:val="single" w:sz="6" w:space="0" w:color="C00000"/>
              <w:bottom w:val="single" w:sz="6" w:space="0" w:color="C00000"/>
            </w:tcBorders>
            <w:shd w:val="clear" w:color="auto" w:fill="FFFFFF" w:themeFill="background1"/>
          </w:tcPr>
          <w:p w14:paraId="61E2097C" w14:textId="77777777" w:rsidR="00DD4C95" w:rsidRDefault="00DD4C95" w:rsidP="0008037B">
            <w:pPr>
              <w:pStyle w:val="TableTextLeft"/>
              <w:spacing w:before="20" w:after="20"/>
            </w:pPr>
            <w:r w:rsidRPr="006212B3">
              <w:rPr>
                <w:bCs/>
                <w:color w:val="auto"/>
                <w:lang w:val="en"/>
              </w:rPr>
              <w:t>To provide a remedy for small businesses, particularly new small businesses who do not have the time or money to seek professional advice, who might choose an initial legal structure that they later find is not suited to their needs.</w:t>
            </w:r>
          </w:p>
        </w:tc>
      </w:tr>
      <w:tr w:rsidR="00FD54DE" w:rsidRPr="006F14B4" w14:paraId="6A5C9818" w14:textId="01665DE8" w:rsidTr="0063194B">
        <w:tc>
          <w:tcPr>
            <w:tcW w:w="2027" w:type="dxa"/>
            <w:tcBorders>
              <w:top w:val="single" w:sz="6" w:space="0" w:color="C00000"/>
              <w:bottom w:val="single" w:sz="6" w:space="0" w:color="C00000"/>
            </w:tcBorders>
            <w:shd w:val="clear" w:color="auto" w:fill="FFFFFF" w:themeFill="background1"/>
          </w:tcPr>
          <w:p w14:paraId="6A5C9816" w14:textId="4DE9B5CA" w:rsidR="00FD54DE" w:rsidRPr="004246FE" w:rsidRDefault="00FD54DE" w:rsidP="00F96145">
            <w:pPr>
              <w:pStyle w:val="TableColumnHeadingLeft"/>
              <w:spacing w:beforeLines="20" w:before="48" w:afterLines="20" w:after="48"/>
            </w:pPr>
            <w:r>
              <w:t>Interposition of holding company*</w:t>
            </w:r>
          </w:p>
        </w:tc>
        <w:tc>
          <w:tcPr>
            <w:tcW w:w="922" w:type="dxa"/>
            <w:tcBorders>
              <w:top w:val="single" w:sz="6" w:space="0" w:color="C00000"/>
              <w:bottom w:val="single" w:sz="6" w:space="0" w:color="C00000"/>
            </w:tcBorders>
            <w:shd w:val="clear" w:color="auto" w:fill="FFFFFF" w:themeFill="background1"/>
          </w:tcPr>
          <w:p w14:paraId="1A81FB86" w14:textId="2F809814" w:rsidR="00FD54DE" w:rsidRPr="004246FE" w:rsidRDefault="00FD54DE" w:rsidP="00172573">
            <w:pPr>
              <w:pStyle w:val="TableTextLeft"/>
              <w:spacing w:beforeLines="20" w:before="48" w:afterLines="20" w:after="48"/>
            </w:pPr>
            <w:r>
              <w:t>615</w:t>
            </w:r>
          </w:p>
        </w:tc>
        <w:tc>
          <w:tcPr>
            <w:tcW w:w="3572" w:type="dxa"/>
            <w:tcBorders>
              <w:top w:val="single" w:sz="6" w:space="0" w:color="C00000"/>
              <w:bottom w:val="single" w:sz="6" w:space="0" w:color="C00000"/>
            </w:tcBorders>
            <w:shd w:val="clear" w:color="auto" w:fill="FFFFFF" w:themeFill="background1"/>
          </w:tcPr>
          <w:p w14:paraId="6A5C9817" w14:textId="55130C14" w:rsidR="00FD54DE" w:rsidRPr="006212B3" w:rsidRDefault="00FD54DE" w:rsidP="00824D66">
            <w:pPr>
              <w:pStyle w:val="TableTextLeft"/>
              <w:spacing w:beforeLines="20" w:before="48" w:afterLines="20" w:after="48"/>
              <w:rPr>
                <w:bCs/>
                <w:color w:val="auto"/>
                <w:lang w:val="en"/>
              </w:rPr>
            </w:pPr>
            <w:r w:rsidRPr="006212B3">
              <w:rPr>
                <w:bCs/>
                <w:color w:val="auto"/>
                <w:lang w:val="en"/>
              </w:rPr>
              <w:t xml:space="preserve">Relief for the interposition of a company between the owners and an existing company or unit trust where the owners exchange their ownership interests for ownership interests in the interposed </w:t>
            </w:r>
            <w:r w:rsidR="00824D66">
              <w:rPr>
                <w:bCs/>
                <w:color w:val="auto"/>
                <w:lang w:val="en"/>
              </w:rPr>
              <w:t>company</w:t>
            </w:r>
            <w:r w:rsidRPr="006212B3">
              <w:rPr>
                <w:bCs/>
                <w:color w:val="auto"/>
                <w:lang w:val="en"/>
              </w:rPr>
              <w:t>.</w:t>
            </w:r>
          </w:p>
        </w:tc>
        <w:tc>
          <w:tcPr>
            <w:tcW w:w="3117" w:type="dxa"/>
            <w:tcBorders>
              <w:top w:val="single" w:sz="6" w:space="0" w:color="C00000"/>
              <w:bottom w:val="single" w:sz="6" w:space="0" w:color="C00000"/>
            </w:tcBorders>
            <w:shd w:val="clear" w:color="auto" w:fill="FFFFFF" w:themeFill="background1"/>
          </w:tcPr>
          <w:p w14:paraId="4F2D2C9A" w14:textId="2B334E34" w:rsidR="00FD54DE" w:rsidRPr="006212B3" w:rsidRDefault="00D02297" w:rsidP="00F96145">
            <w:pPr>
              <w:pStyle w:val="TableTextLeft"/>
              <w:spacing w:beforeLines="20" w:before="48" w:afterLines="20" w:after="48"/>
              <w:rPr>
                <w:bCs/>
                <w:color w:val="auto"/>
                <w:lang w:val="en"/>
              </w:rPr>
            </w:pPr>
            <w:r w:rsidRPr="006212B3">
              <w:rPr>
                <w:bCs/>
                <w:color w:val="auto"/>
                <w:lang w:val="en"/>
              </w:rPr>
              <w:t>To extend relief for asset ownership changes as part of a business reorganisation when there is no change to the underlying economic ownership.</w:t>
            </w:r>
          </w:p>
        </w:tc>
      </w:tr>
      <w:tr w:rsidR="00FD54DE" w:rsidRPr="006F14B4" w14:paraId="779D8579" w14:textId="73310878" w:rsidTr="0063194B">
        <w:tc>
          <w:tcPr>
            <w:tcW w:w="2027" w:type="dxa"/>
            <w:tcBorders>
              <w:top w:val="single" w:sz="6" w:space="0" w:color="C00000"/>
              <w:bottom w:val="single" w:sz="6" w:space="0" w:color="C00000"/>
            </w:tcBorders>
            <w:shd w:val="clear" w:color="auto" w:fill="FFFFFF" w:themeFill="background1"/>
          </w:tcPr>
          <w:p w14:paraId="76528FC8" w14:textId="77777777" w:rsidR="00FD54DE" w:rsidRDefault="00FD54DE" w:rsidP="00F96145">
            <w:pPr>
              <w:pStyle w:val="TableColumnHeadingLeft"/>
              <w:spacing w:beforeLines="20" w:before="48" w:afterLines="20" w:after="48"/>
            </w:pPr>
            <w:r>
              <w:t>Change of incorporation*</w:t>
            </w:r>
          </w:p>
        </w:tc>
        <w:tc>
          <w:tcPr>
            <w:tcW w:w="922" w:type="dxa"/>
            <w:tcBorders>
              <w:top w:val="single" w:sz="6" w:space="0" w:color="C00000"/>
              <w:bottom w:val="single" w:sz="6" w:space="0" w:color="C00000"/>
            </w:tcBorders>
            <w:shd w:val="clear" w:color="auto" w:fill="FFFFFF" w:themeFill="background1"/>
          </w:tcPr>
          <w:p w14:paraId="5862EB55" w14:textId="417958C2" w:rsidR="00FD54DE" w:rsidRDefault="00FD54DE" w:rsidP="00172573">
            <w:pPr>
              <w:pStyle w:val="TableTextLeft"/>
              <w:spacing w:beforeLines="20" w:before="48" w:afterLines="20" w:after="48"/>
            </w:pPr>
            <w:r>
              <w:t>620-A</w:t>
            </w:r>
          </w:p>
        </w:tc>
        <w:tc>
          <w:tcPr>
            <w:tcW w:w="3572" w:type="dxa"/>
            <w:tcBorders>
              <w:top w:val="single" w:sz="6" w:space="0" w:color="C00000"/>
              <w:bottom w:val="single" w:sz="6" w:space="0" w:color="C00000"/>
            </w:tcBorders>
            <w:shd w:val="clear" w:color="auto" w:fill="FFFFFF" w:themeFill="background1"/>
          </w:tcPr>
          <w:p w14:paraId="04D84361" w14:textId="1C25B15C" w:rsidR="00FD54DE" w:rsidRDefault="00FD54DE" w:rsidP="00F96145">
            <w:pPr>
              <w:pStyle w:val="TableTextLeft"/>
              <w:spacing w:beforeLines="20" w:before="48" w:afterLines="20" w:after="48"/>
            </w:pPr>
            <w:r>
              <w:t xml:space="preserve">Subdivision 620-A provides roll-over relief for the assets of the body changing incorporation under subdivision 124-I. </w:t>
            </w:r>
          </w:p>
        </w:tc>
        <w:tc>
          <w:tcPr>
            <w:tcW w:w="3117" w:type="dxa"/>
            <w:tcBorders>
              <w:top w:val="single" w:sz="6" w:space="0" w:color="C00000"/>
              <w:bottom w:val="single" w:sz="6" w:space="0" w:color="C00000"/>
            </w:tcBorders>
            <w:shd w:val="clear" w:color="auto" w:fill="FFFFFF" w:themeFill="background1"/>
          </w:tcPr>
          <w:p w14:paraId="3B1ED8EF" w14:textId="6BA289E4" w:rsidR="00FD54DE" w:rsidRDefault="00BF0B9D" w:rsidP="00F96145">
            <w:pPr>
              <w:pStyle w:val="TableTextLeft"/>
              <w:spacing w:beforeLines="20" w:before="48" w:afterLines="20" w:after="48"/>
            </w:pPr>
            <w:r>
              <w:t>As above for 124-I roll-over.</w:t>
            </w:r>
          </w:p>
        </w:tc>
      </w:tr>
      <w:tr w:rsidR="00FD54DE" w:rsidRPr="006F14B4" w14:paraId="6A5C9820" w14:textId="6F3674F6" w:rsidTr="0063194B">
        <w:tc>
          <w:tcPr>
            <w:tcW w:w="6521" w:type="dxa"/>
            <w:gridSpan w:val="3"/>
            <w:tcBorders>
              <w:top w:val="single" w:sz="6" w:space="0" w:color="C00000"/>
              <w:bottom w:val="single" w:sz="6" w:space="0" w:color="C00000"/>
            </w:tcBorders>
            <w:shd w:val="clear" w:color="auto" w:fill="F2F2F2" w:themeFill="background1" w:themeFillShade="F2"/>
          </w:tcPr>
          <w:p w14:paraId="6A5C981F" w14:textId="049737EA" w:rsidR="00FD54DE" w:rsidRPr="005531FD" w:rsidRDefault="00FD54DE" w:rsidP="006212B3">
            <w:pPr>
              <w:pStyle w:val="TableColumnHeadingLeft"/>
              <w:rPr>
                <w:bCs/>
                <w:color w:val="44546A" w:themeColor="text2"/>
              </w:rPr>
            </w:pPr>
            <w:r>
              <w:rPr>
                <w:sz w:val="28"/>
              </w:rPr>
              <w:t>Disposals that exhibit ‘involuntariness’</w:t>
            </w:r>
          </w:p>
        </w:tc>
        <w:tc>
          <w:tcPr>
            <w:tcW w:w="3117" w:type="dxa"/>
            <w:tcBorders>
              <w:top w:val="single" w:sz="6" w:space="0" w:color="C00000"/>
              <w:bottom w:val="single" w:sz="6" w:space="0" w:color="C00000"/>
            </w:tcBorders>
            <w:shd w:val="clear" w:color="auto" w:fill="F2F2F2" w:themeFill="background1" w:themeFillShade="F2"/>
          </w:tcPr>
          <w:p w14:paraId="17320026" w14:textId="0A763E65" w:rsidR="00FD54DE" w:rsidRDefault="00FD54DE" w:rsidP="00FD54DE">
            <w:pPr>
              <w:pStyle w:val="TableColumnHeadingLeft"/>
              <w:jc w:val="center"/>
              <w:rPr>
                <w:sz w:val="28"/>
              </w:rPr>
            </w:pPr>
          </w:p>
        </w:tc>
      </w:tr>
      <w:tr w:rsidR="00FD54DE" w:rsidRPr="006F14B4" w14:paraId="6A5C9823" w14:textId="400D5FC0" w:rsidTr="0063194B">
        <w:tc>
          <w:tcPr>
            <w:tcW w:w="2027" w:type="dxa"/>
            <w:tcBorders>
              <w:top w:val="single" w:sz="6" w:space="0" w:color="C00000"/>
              <w:bottom w:val="single" w:sz="6" w:space="0" w:color="C00000"/>
            </w:tcBorders>
            <w:shd w:val="clear" w:color="auto" w:fill="FFFFFF" w:themeFill="background1"/>
          </w:tcPr>
          <w:p w14:paraId="6A5C9821" w14:textId="2A6BCDB8" w:rsidR="00FD54DE" w:rsidRDefault="00FD54DE" w:rsidP="00F96145">
            <w:pPr>
              <w:pStyle w:val="TableColumnHeadingLeft"/>
              <w:spacing w:before="20" w:after="20"/>
            </w:pPr>
            <w:r>
              <w:t>Assets compulsorily acquired, lost or destroyed</w:t>
            </w:r>
          </w:p>
        </w:tc>
        <w:tc>
          <w:tcPr>
            <w:tcW w:w="922" w:type="dxa"/>
            <w:tcBorders>
              <w:top w:val="single" w:sz="6" w:space="0" w:color="C00000"/>
              <w:bottom w:val="single" w:sz="6" w:space="0" w:color="C00000"/>
            </w:tcBorders>
            <w:shd w:val="clear" w:color="auto" w:fill="FFFFFF" w:themeFill="background1"/>
          </w:tcPr>
          <w:p w14:paraId="642B493C" w14:textId="6D5B9294" w:rsidR="00FD54DE" w:rsidRDefault="00FD54DE" w:rsidP="00172573">
            <w:pPr>
              <w:pStyle w:val="TableTextLeft"/>
              <w:spacing w:before="20" w:after="20"/>
            </w:pPr>
            <w:r>
              <w:t>124-B</w:t>
            </w:r>
          </w:p>
        </w:tc>
        <w:tc>
          <w:tcPr>
            <w:tcW w:w="3572" w:type="dxa"/>
            <w:tcBorders>
              <w:top w:val="single" w:sz="6" w:space="0" w:color="C00000"/>
              <w:bottom w:val="single" w:sz="6" w:space="0" w:color="C00000"/>
            </w:tcBorders>
            <w:shd w:val="clear" w:color="auto" w:fill="FFFFFF" w:themeFill="background1"/>
          </w:tcPr>
          <w:p w14:paraId="6A5C9822" w14:textId="5D5C5E9E" w:rsidR="00FD54DE" w:rsidRPr="00722430" w:rsidRDefault="00FD54DE" w:rsidP="00F96145">
            <w:pPr>
              <w:pStyle w:val="TableTextLeft"/>
              <w:spacing w:before="20" w:after="20"/>
            </w:pPr>
            <w:r>
              <w:t xml:space="preserve">Relief for compensation for compulsory acquisition of assets and for stolen or destroyed property when replacement assets are acquired within one and two years from the time of involuntary </w:t>
            </w:r>
            <w:r>
              <w:lastRenderedPageBreak/>
              <w:t>disposal. Roll-over also applies to compensation received for the repair or restoration of a damaged asset.</w:t>
            </w:r>
          </w:p>
        </w:tc>
        <w:tc>
          <w:tcPr>
            <w:tcW w:w="3117" w:type="dxa"/>
            <w:tcBorders>
              <w:top w:val="single" w:sz="6" w:space="0" w:color="C00000"/>
              <w:bottom w:val="single" w:sz="6" w:space="0" w:color="C00000"/>
            </w:tcBorders>
            <w:shd w:val="clear" w:color="auto" w:fill="FFFFFF" w:themeFill="background1"/>
          </w:tcPr>
          <w:p w14:paraId="5C1F189F" w14:textId="4275E791" w:rsidR="00FD54DE" w:rsidRDefault="00326680" w:rsidP="00F96145">
            <w:pPr>
              <w:pStyle w:val="TableTextLeft"/>
              <w:spacing w:before="20" w:after="20"/>
            </w:pPr>
            <w:r>
              <w:lastRenderedPageBreak/>
              <w:t xml:space="preserve">The policy rationale is unstated in the originating CGT package in 1986, but is clearly directed at the </w:t>
            </w:r>
            <w:r w:rsidRPr="00AA26DD">
              <w:t xml:space="preserve">inequitable outcomes that result from CGT in </w:t>
            </w:r>
            <w:r>
              <w:lastRenderedPageBreak/>
              <w:t>circumstances involving an involuntary transaction</w:t>
            </w:r>
            <w:r w:rsidRPr="00AA26DD">
              <w:t>.</w:t>
            </w:r>
            <w:r>
              <w:t xml:space="preserve">  </w:t>
            </w:r>
          </w:p>
        </w:tc>
      </w:tr>
      <w:tr w:rsidR="00FD54DE" w:rsidRPr="006F14B4" w14:paraId="6A5C9826" w14:textId="559E3595" w:rsidTr="0063194B">
        <w:tc>
          <w:tcPr>
            <w:tcW w:w="2027" w:type="dxa"/>
            <w:tcBorders>
              <w:top w:val="single" w:sz="6" w:space="0" w:color="C00000"/>
              <w:bottom w:val="single" w:sz="6" w:space="0" w:color="C00000"/>
            </w:tcBorders>
            <w:shd w:val="clear" w:color="auto" w:fill="FFFFFF" w:themeFill="background1"/>
          </w:tcPr>
          <w:p w14:paraId="6A5C9824" w14:textId="67F0BCEA" w:rsidR="00FD54DE" w:rsidRDefault="00FD54DE" w:rsidP="00F96145">
            <w:pPr>
              <w:pStyle w:val="TableColumnHeadingLeft"/>
              <w:spacing w:before="20" w:after="20"/>
            </w:pPr>
            <w:r>
              <w:lastRenderedPageBreak/>
              <w:t>Statutory licences</w:t>
            </w:r>
          </w:p>
        </w:tc>
        <w:tc>
          <w:tcPr>
            <w:tcW w:w="922" w:type="dxa"/>
            <w:tcBorders>
              <w:top w:val="single" w:sz="6" w:space="0" w:color="C00000"/>
              <w:bottom w:val="single" w:sz="6" w:space="0" w:color="C00000"/>
            </w:tcBorders>
            <w:shd w:val="clear" w:color="auto" w:fill="FFFFFF" w:themeFill="background1"/>
          </w:tcPr>
          <w:p w14:paraId="5A588D83" w14:textId="655FE799" w:rsidR="00FD54DE" w:rsidRDefault="00FD54DE" w:rsidP="00172573">
            <w:pPr>
              <w:pStyle w:val="TableTextLeft"/>
              <w:spacing w:before="20" w:after="20"/>
            </w:pPr>
            <w:r>
              <w:t>124-C</w:t>
            </w:r>
          </w:p>
        </w:tc>
        <w:tc>
          <w:tcPr>
            <w:tcW w:w="3572" w:type="dxa"/>
            <w:tcBorders>
              <w:top w:val="single" w:sz="6" w:space="0" w:color="C00000"/>
              <w:bottom w:val="single" w:sz="6" w:space="0" w:color="C00000"/>
            </w:tcBorders>
            <w:shd w:val="clear" w:color="auto" w:fill="FFFFFF" w:themeFill="background1"/>
          </w:tcPr>
          <w:p w14:paraId="17D0606B" w14:textId="77777777" w:rsidR="00FD54DE" w:rsidRDefault="00FD54DE" w:rsidP="00F96145">
            <w:pPr>
              <w:pStyle w:val="TableTextLeft"/>
              <w:spacing w:before="20" w:after="20"/>
            </w:pPr>
            <w:r>
              <w:t xml:space="preserve">Relief for the renewal or extension of a licence or authority issued by a government or government authority, subject to the requirement that there is no change in beneficial ownership. </w:t>
            </w:r>
          </w:p>
          <w:p w14:paraId="6A5C9825" w14:textId="0D10AA74" w:rsidR="00FD54DE" w:rsidRDefault="00FD54DE" w:rsidP="00F96145">
            <w:pPr>
              <w:pStyle w:val="TableTextLeft"/>
              <w:spacing w:before="20" w:after="20"/>
            </w:pPr>
          </w:p>
        </w:tc>
        <w:tc>
          <w:tcPr>
            <w:tcW w:w="3117" w:type="dxa"/>
            <w:tcBorders>
              <w:top w:val="single" w:sz="6" w:space="0" w:color="C00000"/>
              <w:bottom w:val="single" w:sz="6" w:space="0" w:color="C00000"/>
            </w:tcBorders>
            <w:shd w:val="clear" w:color="auto" w:fill="FFFFFF" w:themeFill="background1"/>
          </w:tcPr>
          <w:p w14:paraId="317A68E6" w14:textId="134A3B39" w:rsidR="00FD54DE" w:rsidRDefault="00326680" w:rsidP="00F96145">
            <w:pPr>
              <w:pStyle w:val="TableTextLeft"/>
              <w:spacing w:before="20" w:after="20"/>
            </w:pPr>
            <w:r>
              <w:t>To preserve the CGT-exempt status of pre-CGT assets and ensure that a renewal or extension does not result in a disposal because such assets are created by statutory powers, and renewal or extension is generally granted.</w:t>
            </w:r>
          </w:p>
        </w:tc>
      </w:tr>
      <w:tr w:rsidR="00FD54DE" w:rsidRPr="006F14B4" w14:paraId="7A6BC712" w14:textId="7F85C604" w:rsidTr="0063194B">
        <w:tc>
          <w:tcPr>
            <w:tcW w:w="2027" w:type="dxa"/>
            <w:tcBorders>
              <w:top w:val="single" w:sz="6" w:space="0" w:color="C00000"/>
              <w:bottom w:val="single" w:sz="6" w:space="0" w:color="C00000"/>
            </w:tcBorders>
            <w:shd w:val="clear" w:color="auto" w:fill="FFFFFF" w:themeFill="background1"/>
          </w:tcPr>
          <w:p w14:paraId="42EDD3A4" w14:textId="651F8A93" w:rsidR="00FD54DE" w:rsidRDefault="00FD54DE" w:rsidP="00F96145">
            <w:pPr>
              <w:pStyle w:val="TableColumnHeadingLeft"/>
              <w:spacing w:before="20" w:after="20"/>
            </w:pPr>
            <w:r>
              <w:t xml:space="preserve">Strata title conversion </w:t>
            </w:r>
          </w:p>
        </w:tc>
        <w:tc>
          <w:tcPr>
            <w:tcW w:w="922" w:type="dxa"/>
            <w:tcBorders>
              <w:top w:val="single" w:sz="6" w:space="0" w:color="C00000"/>
              <w:bottom w:val="single" w:sz="6" w:space="0" w:color="C00000"/>
            </w:tcBorders>
            <w:shd w:val="clear" w:color="auto" w:fill="FFFFFF" w:themeFill="background1"/>
          </w:tcPr>
          <w:p w14:paraId="38DD17B7" w14:textId="17502C1F" w:rsidR="00FD54DE" w:rsidRDefault="00FD54DE" w:rsidP="00172573">
            <w:pPr>
              <w:pStyle w:val="TableTextLeft"/>
              <w:spacing w:before="20" w:after="20"/>
            </w:pPr>
            <w:r>
              <w:t>124-D</w:t>
            </w:r>
          </w:p>
        </w:tc>
        <w:tc>
          <w:tcPr>
            <w:tcW w:w="3572" w:type="dxa"/>
            <w:tcBorders>
              <w:top w:val="single" w:sz="6" w:space="0" w:color="C00000"/>
              <w:bottom w:val="single" w:sz="6" w:space="0" w:color="C00000"/>
            </w:tcBorders>
            <w:shd w:val="clear" w:color="auto" w:fill="FFFFFF" w:themeFill="background1"/>
          </w:tcPr>
          <w:p w14:paraId="4B69C332" w14:textId="65044295" w:rsidR="00FD54DE" w:rsidRDefault="00FD54DE" w:rsidP="00F96145">
            <w:pPr>
              <w:pStyle w:val="TableTextLeft"/>
              <w:spacing w:before="20" w:after="20"/>
            </w:pPr>
            <w:r>
              <w:t xml:space="preserve">Relief for a conversion to a strata title from another type of ownership arrangement for individual ownership of home units and apartments. </w:t>
            </w:r>
          </w:p>
          <w:p w14:paraId="14E398DB" w14:textId="7B511AAC" w:rsidR="00FD54DE" w:rsidRDefault="00FD54DE" w:rsidP="00F96145">
            <w:pPr>
              <w:pStyle w:val="TableTextLeft"/>
              <w:spacing w:before="20" w:after="20"/>
            </w:pPr>
          </w:p>
        </w:tc>
        <w:tc>
          <w:tcPr>
            <w:tcW w:w="3117" w:type="dxa"/>
            <w:tcBorders>
              <w:top w:val="single" w:sz="6" w:space="0" w:color="C00000"/>
              <w:bottom w:val="single" w:sz="6" w:space="0" w:color="C00000"/>
            </w:tcBorders>
            <w:shd w:val="clear" w:color="auto" w:fill="FFFFFF" w:themeFill="background1"/>
          </w:tcPr>
          <w:p w14:paraId="4A0A8A47" w14:textId="0FB98439" w:rsidR="00FD54DE" w:rsidRDefault="00326680" w:rsidP="00F96145">
            <w:pPr>
              <w:pStyle w:val="TableTextLeft"/>
              <w:spacing w:before="20" w:after="20"/>
            </w:pPr>
            <w:r>
              <w:t>To ensure that CGT operated in a fair manner, noting that the relevant conversion is in the form of legal title to the unit or apartment rather than an effective change to the rights of the individual owners over that asset.</w:t>
            </w:r>
          </w:p>
        </w:tc>
      </w:tr>
      <w:tr w:rsidR="00FD54DE" w:rsidRPr="006F14B4" w14:paraId="11625B5C" w14:textId="01D0ECC3" w:rsidTr="0063194B">
        <w:tc>
          <w:tcPr>
            <w:tcW w:w="2027" w:type="dxa"/>
            <w:tcBorders>
              <w:top w:val="single" w:sz="6" w:space="0" w:color="C00000"/>
              <w:bottom w:val="single" w:sz="6" w:space="0" w:color="C00000"/>
            </w:tcBorders>
            <w:shd w:val="clear" w:color="auto" w:fill="FFFFFF" w:themeFill="background1"/>
          </w:tcPr>
          <w:p w14:paraId="5EC508B0" w14:textId="2117D6DB" w:rsidR="00FD54DE" w:rsidRDefault="00FD54DE" w:rsidP="00F96145">
            <w:pPr>
              <w:pStyle w:val="TableColumnHeadingLeft"/>
              <w:spacing w:before="20" w:after="20"/>
            </w:pPr>
            <w:r>
              <w:t>Crown Leases</w:t>
            </w:r>
          </w:p>
        </w:tc>
        <w:tc>
          <w:tcPr>
            <w:tcW w:w="922" w:type="dxa"/>
            <w:tcBorders>
              <w:top w:val="single" w:sz="6" w:space="0" w:color="C00000"/>
              <w:bottom w:val="single" w:sz="6" w:space="0" w:color="C00000"/>
            </w:tcBorders>
            <w:shd w:val="clear" w:color="auto" w:fill="FFFFFF" w:themeFill="background1"/>
          </w:tcPr>
          <w:p w14:paraId="47EB2719" w14:textId="4525188D" w:rsidR="00FD54DE" w:rsidRDefault="00FD54DE" w:rsidP="00172573">
            <w:pPr>
              <w:pStyle w:val="TableTextLeft"/>
              <w:spacing w:before="20" w:after="20"/>
            </w:pPr>
            <w:r>
              <w:t>124-J</w:t>
            </w:r>
          </w:p>
        </w:tc>
        <w:tc>
          <w:tcPr>
            <w:tcW w:w="3572" w:type="dxa"/>
            <w:tcBorders>
              <w:top w:val="single" w:sz="6" w:space="0" w:color="C00000"/>
              <w:bottom w:val="single" w:sz="6" w:space="0" w:color="C00000"/>
            </w:tcBorders>
            <w:shd w:val="clear" w:color="auto" w:fill="FFFFFF" w:themeFill="background1"/>
          </w:tcPr>
          <w:p w14:paraId="341BE6F0" w14:textId="77777777" w:rsidR="00FD54DE" w:rsidRDefault="00FD54DE" w:rsidP="00F96145">
            <w:pPr>
              <w:pStyle w:val="TableTextLeft"/>
              <w:spacing w:before="20" w:after="20"/>
            </w:pPr>
            <w:r>
              <w:t xml:space="preserve">Relief on the renewal, extension or conversion to a lease in perpetuity of a crown lease of land where the new or extended lease is over the same or substantially the same land. </w:t>
            </w:r>
          </w:p>
          <w:p w14:paraId="2347B7C9" w14:textId="09607A32" w:rsidR="00FD54DE" w:rsidRDefault="00FD54DE" w:rsidP="00F96145">
            <w:pPr>
              <w:pStyle w:val="TableTextLeft"/>
              <w:spacing w:before="20" w:after="20"/>
            </w:pPr>
          </w:p>
        </w:tc>
        <w:tc>
          <w:tcPr>
            <w:tcW w:w="3117" w:type="dxa"/>
            <w:tcBorders>
              <w:top w:val="single" w:sz="6" w:space="0" w:color="C00000"/>
              <w:bottom w:val="single" w:sz="6" w:space="0" w:color="C00000"/>
            </w:tcBorders>
            <w:shd w:val="clear" w:color="auto" w:fill="FFFFFF" w:themeFill="background1"/>
          </w:tcPr>
          <w:p w14:paraId="4717B92D" w14:textId="64E70933" w:rsidR="00FD54DE" w:rsidRDefault="00326680" w:rsidP="00F96145">
            <w:pPr>
              <w:pStyle w:val="TableTextLeft"/>
              <w:spacing w:before="20" w:after="20"/>
            </w:pPr>
            <w:r>
              <w:t>To ensure consistency of treatment with freehold interests, given there is little difference between the two, so that CGT-exempt status is preserved pre-CGT crown leases and, in other cases, ensuring no CGT arises until the lease is disposed of to a third party or otherwise terminated.</w:t>
            </w:r>
          </w:p>
        </w:tc>
      </w:tr>
      <w:tr w:rsidR="00FD54DE" w:rsidRPr="006F14B4" w14:paraId="2EAD9787" w14:textId="256AC32E" w:rsidTr="0063194B">
        <w:tc>
          <w:tcPr>
            <w:tcW w:w="2027" w:type="dxa"/>
            <w:tcBorders>
              <w:top w:val="single" w:sz="6" w:space="0" w:color="C00000"/>
              <w:bottom w:val="single" w:sz="6" w:space="0" w:color="C00000"/>
            </w:tcBorders>
            <w:shd w:val="clear" w:color="auto" w:fill="FFFFFF" w:themeFill="background1"/>
          </w:tcPr>
          <w:p w14:paraId="1C94E86E" w14:textId="786E3F59" w:rsidR="00FD54DE" w:rsidRDefault="00FD54DE" w:rsidP="00F96145">
            <w:pPr>
              <w:pStyle w:val="TableColumnHeadingLeft"/>
              <w:spacing w:before="20" w:after="20"/>
            </w:pPr>
            <w:r>
              <w:t>Depreciating assets that are easements over crown land</w:t>
            </w:r>
          </w:p>
        </w:tc>
        <w:tc>
          <w:tcPr>
            <w:tcW w:w="922" w:type="dxa"/>
            <w:tcBorders>
              <w:top w:val="single" w:sz="6" w:space="0" w:color="C00000"/>
              <w:bottom w:val="single" w:sz="6" w:space="0" w:color="C00000"/>
            </w:tcBorders>
            <w:shd w:val="clear" w:color="auto" w:fill="FFFFFF" w:themeFill="background1"/>
          </w:tcPr>
          <w:p w14:paraId="17A58C32" w14:textId="6F6BD6CF" w:rsidR="00FD54DE" w:rsidRDefault="00FD54DE" w:rsidP="00172573">
            <w:pPr>
              <w:pStyle w:val="TableTextLeft"/>
              <w:spacing w:before="20" w:after="20"/>
            </w:pPr>
            <w:r>
              <w:t>124-K</w:t>
            </w:r>
          </w:p>
        </w:tc>
        <w:tc>
          <w:tcPr>
            <w:tcW w:w="3572" w:type="dxa"/>
            <w:tcBorders>
              <w:top w:val="single" w:sz="6" w:space="0" w:color="C00000"/>
              <w:bottom w:val="single" w:sz="6" w:space="0" w:color="C00000"/>
            </w:tcBorders>
            <w:shd w:val="clear" w:color="auto" w:fill="FFFFFF" w:themeFill="background1"/>
          </w:tcPr>
          <w:p w14:paraId="0A91288E" w14:textId="2D5CC190" w:rsidR="00FD54DE" w:rsidRDefault="00FD54DE" w:rsidP="00F96145">
            <w:pPr>
              <w:pStyle w:val="TableTextLeft"/>
              <w:spacing w:before="20" w:after="20"/>
            </w:pPr>
            <w:r>
              <w:t xml:space="preserve">Relief for depreciating assets installed on Crown Leases. </w:t>
            </w:r>
          </w:p>
          <w:p w14:paraId="45001189" w14:textId="4D372A69" w:rsidR="00FD54DE" w:rsidRDefault="00FD54DE" w:rsidP="00F96145">
            <w:pPr>
              <w:pStyle w:val="TableTextLeft"/>
              <w:spacing w:before="20" w:after="20"/>
            </w:pPr>
          </w:p>
        </w:tc>
        <w:tc>
          <w:tcPr>
            <w:tcW w:w="3117" w:type="dxa"/>
            <w:tcBorders>
              <w:top w:val="single" w:sz="6" w:space="0" w:color="C00000"/>
              <w:bottom w:val="single" w:sz="6" w:space="0" w:color="C00000"/>
            </w:tcBorders>
            <w:shd w:val="clear" w:color="auto" w:fill="FFFFFF" w:themeFill="background1"/>
          </w:tcPr>
          <w:p w14:paraId="0BCE7629" w14:textId="5E4615BA" w:rsidR="00FD54DE" w:rsidRDefault="00326680" w:rsidP="00F96145">
            <w:pPr>
              <w:pStyle w:val="TableTextLeft"/>
              <w:spacing w:before="20" w:after="20"/>
            </w:pPr>
            <w:r>
              <w:t>To synchronise the capital gains tax and depreciation treatment of depreciating assets installed on Crown Leases. (Depreciation deductions were granted to owners of depreciating property installed on crown leases in the prior year).</w:t>
            </w:r>
          </w:p>
        </w:tc>
      </w:tr>
      <w:tr w:rsidR="00FD54DE" w:rsidRPr="006F14B4" w14:paraId="10CBC8FE" w14:textId="6F5C0A64" w:rsidTr="0063194B">
        <w:tc>
          <w:tcPr>
            <w:tcW w:w="2027" w:type="dxa"/>
            <w:tcBorders>
              <w:top w:val="single" w:sz="6" w:space="0" w:color="C00000"/>
              <w:bottom w:val="single" w:sz="6" w:space="0" w:color="C00000"/>
            </w:tcBorders>
            <w:shd w:val="clear" w:color="auto" w:fill="FFFFFF" w:themeFill="background1"/>
          </w:tcPr>
          <w:p w14:paraId="06E8833C" w14:textId="212B86AC" w:rsidR="00FD54DE" w:rsidRDefault="00FD54DE" w:rsidP="00F96145">
            <w:pPr>
              <w:pStyle w:val="TableColumnHeadingLeft"/>
              <w:spacing w:before="20" w:after="20"/>
            </w:pPr>
            <w:r>
              <w:t>Prospecting and mining entitlements</w:t>
            </w:r>
          </w:p>
        </w:tc>
        <w:tc>
          <w:tcPr>
            <w:tcW w:w="922" w:type="dxa"/>
            <w:tcBorders>
              <w:top w:val="single" w:sz="6" w:space="0" w:color="C00000"/>
              <w:bottom w:val="single" w:sz="6" w:space="0" w:color="C00000"/>
            </w:tcBorders>
            <w:shd w:val="clear" w:color="auto" w:fill="FFFFFF" w:themeFill="background1"/>
          </w:tcPr>
          <w:p w14:paraId="20FF40A2" w14:textId="69490926" w:rsidR="00FD54DE" w:rsidRDefault="00FD54DE" w:rsidP="00172573">
            <w:pPr>
              <w:pStyle w:val="TableTextLeft"/>
              <w:spacing w:before="20" w:after="20"/>
            </w:pPr>
            <w:r>
              <w:t>124-L</w:t>
            </w:r>
          </w:p>
        </w:tc>
        <w:tc>
          <w:tcPr>
            <w:tcW w:w="3572" w:type="dxa"/>
            <w:tcBorders>
              <w:top w:val="single" w:sz="6" w:space="0" w:color="C00000"/>
              <w:bottom w:val="single" w:sz="6" w:space="0" w:color="C00000"/>
            </w:tcBorders>
            <w:shd w:val="clear" w:color="auto" w:fill="FFFFFF" w:themeFill="background1"/>
          </w:tcPr>
          <w:p w14:paraId="7B5F444A" w14:textId="71DDF941" w:rsidR="00FD54DE" w:rsidRDefault="00FD54DE" w:rsidP="00F96145">
            <w:pPr>
              <w:pStyle w:val="TableTextLeft"/>
              <w:spacing w:before="20" w:after="20"/>
            </w:pPr>
            <w:r>
              <w:t xml:space="preserve">Automatic relief for the expiry or surrender of prospecting and mining entitlements when replaced with new entitlements.  </w:t>
            </w:r>
          </w:p>
        </w:tc>
        <w:tc>
          <w:tcPr>
            <w:tcW w:w="3117" w:type="dxa"/>
            <w:tcBorders>
              <w:top w:val="single" w:sz="6" w:space="0" w:color="C00000"/>
              <w:bottom w:val="single" w:sz="6" w:space="0" w:color="C00000"/>
            </w:tcBorders>
            <w:shd w:val="clear" w:color="auto" w:fill="FFFFFF" w:themeFill="background1"/>
          </w:tcPr>
          <w:p w14:paraId="3907A247" w14:textId="75D78B44" w:rsidR="00FD54DE" w:rsidRDefault="00326680" w:rsidP="00F96145">
            <w:pPr>
              <w:pStyle w:val="TableTextLeft"/>
              <w:spacing w:before="20" w:after="20"/>
            </w:pPr>
            <w:r>
              <w:t xml:space="preserve">As above for 124-C roll-over. </w:t>
            </w:r>
          </w:p>
        </w:tc>
      </w:tr>
      <w:tr w:rsidR="00FD54DE" w:rsidRPr="006F14B4" w14:paraId="10516184" w14:textId="0473A84A" w:rsidTr="0063194B">
        <w:tc>
          <w:tcPr>
            <w:tcW w:w="2027" w:type="dxa"/>
            <w:tcBorders>
              <w:top w:val="single" w:sz="6" w:space="0" w:color="C00000"/>
              <w:bottom w:val="single" w:sz="6" w:space="0" w:color="C00000"/>
            </w:tcBorders>
            <w:shd w:val="clear" w:color="auto" w:fill="FFFFFF" w:themeFill="background1"/>
          </w:tcPr>
          <w:p w14:paraId="2C9A15AD" w14:textId="3583D8AB" w:rsidR="00FD54DE" w:rsidRDefault="00FD54DE" w:rsidP="00F96145">
            <w:pPr>
              <w:pStyle w:val="TableColumnHeadingLeft"/>
              <w:spacing w:before="20" w:after="20"/>
            </w:pPr>
            <w:r>
              <w:t>Water entitlements</w:t>
            </w:r>
          </w:p>
        </w:tc>
        <w:tc>
          <w:tcPr>
            <w:tcW w:w="922" w:type="dxa"/>
            <w:tcBorders>
              <w:top w:val="single" w:sz="6" w:space="0" w:color="C00000"/>
              <w:bottom w:val="single" w:sz="6" w:space="0" w:color="C00000"/>
            </w:tcBorders>
            <w:shd w:val="clear" w:color="auto" w:fill="FFFFFF" w:themeFill="background1"/>
          </w:tcPr>
          <w:p w14:paraId="2E3E472B" w14:textId="046C8D8D" w:rsidR="00FD54DE" w:rsidRDefault="00FD54DE" w:rsidP="00172573">
            <w:pPr>
              <w:pStyle w:val="TableTextLeft"/>
              <w:spacing w:before="20" w:after="20"/>
            </w:pPr>
            <w:r>
              <w:t>124-R</w:t>
            </w:r>
          </w:p>
        </w:tc>
        <w:tc>
          <w:tcPr>
            <w:tcW w:w="3572" w:type="dxa"/>
            <w:tcBorders>
              <w:top w:val="single" w:sz="6" w:space="0" w:color="C00000"/>
              <w:bottom w:val="single" w:sz="6" w:space="0" w:color="C00000"/>
            </w:tcBorders>
            <w:shd w:val="clear" w:color="auto" w:fill="FFFFFF" w:themeFill="background1"/>
          </w:tcPr>
          <w:p w14:paraId="263D14BD" w14:textId="15E3AB05" w:rsidR="00FD54DE" w:rsidRDefault="00FD54DE" w:rsidP="00F96145">
            <w:pPr>
              <w:pStyle w:val="TableTextLeft"/>
              <w:spacing w:before="20" w:after="20"/>
            </w:pPr>
            <w:r>
              <w:t xml:space="preserve">Relief for the CGT consequences arising from the ending of an irrigator’s water entitlement and the issuing to the irrigator of a </w:t>
            </w:r>
            <w:r>
              <w:lastRenderedPageBreak/>
              <w:t>replacement water entitlement, including when irrigators transform their entitlement to water under an irrigation right into an individual water entitlement.</w:t>
            </w:r>
          </w:p>
        </w:tc>
        <w:tc>
          <w:tcPr>
            <w:tcW w:w="3117" w:type="dxa"/>
            <w:tcBorders>
              <w:top w:val="single" w:sz="6" w:space="0" w:color="C00000"/>
              <w:bottom w:val="single" w:sz="6" w:space="0" w:color="C00000"/>
            </w:tcBorders>
            <w:shd w:val="clear" w:color="auto" w:fill="FFFFFF" w:themeFill="background1"/>
          </w:tcPr>
          <w:p w14:paraId="640BD461" w14:textId="3D5FE06D" w:rsidR="00FD54DE" w:rsidRDefault="00326680" w:rsidP="00F96145">
            <w:pPr>
              <w:pStyle w:val="TableTextLeft"/>
              <w:spacing w:before="20" w:after="20"/>
            </w:pPr>
            <w:r>
              <w:lastRenderedPageBreak/>
              <w:t xml:space="preserve">So that the tax system does not stand in the way of the new water trading regime (and to ensure compliance with the </w:t>
            </w:r>
            <w:r>
              <w:lastRenderedPageBreak/>
              <w:t>Water Market Rules 2009) which promotes a fairer and more efficient use of water for irrigators and operators.</w:t>
            </w:r>
          </w:p>
        </w:tc>
      </w:tr>
      <w:tr w:rsidR="00FD54DE" w:rsidRPr="006F14B4" w14:paraId="778FFA20" w14:textId="11A0ACE0" w:rsidTr="0063194B">
        <w:tc>
          <w:tcPr>
            <w:tcW w:w="2027" w:type="dxa"/>
            <w:tcBorders>
              <w:top w:val="single" w:sz="6" w:space="0" w:color="C00000"/>
              <w:bottom w:val="single" w:sz="6" w:space="0" w:color="C00000"/>
            </w:tcBorders>
            <w:shd w:val="clear" w:color="auto" w:fill="FFFFFF" w:themeFill="background1"/>
          </w:tcPr>
          <w:p w14:paraId="28943192" w14:textId="352838D8" w:rsidR="00FD54DE" w:rsidRDefault="00FD54DE" w:rsidP="00F96145">
            <w:pPr>
              <w:pStyle w:val="TableColumnHeadingLeft"/>
              <w:spacing w:before="20" w:after="20"/>
            </w:pPr>
            <w:r>
              <w:lastRenderedPageBreak/>
              <w:t>Marriage or relationship breakdown</w:t>
            </w:r>
          </w:p>
        </w:tc>
        <w:tc>
          <w:tcPr>
            <w:tcW w:w="922" w:type="dxa"/>
            <w:tcBorders>
              <w:top w:val="single" w:sz="6" w:space="0" w:color="C00000"/>
              <w:bottom w:val="single" w:sz="6" w:space="0" w:color="C00000"/>
            </w:tcBorders>
            <w:shd w:val="clear" w:color="auto" w:fill="FFFFFF" w:themeFill="background1"/>
          </w:tcPr>
          <w:p w14:paraId="583E84BB" w14:textId="3664BFA5" w:rsidR="00FD54DE" w:rsidRDefault="00FD54DE" w:rsidP="00172573">
            <w:pPr>
              <w:pStyle w:val="TableTextLeft"/>
              <w:spacing w:before="20" w:after="20"/>
            </w:pPr>
            <w:r>
              <w:t>126-A</w:t>
            </w:r>
          </w:p>
        </w:tc>
        <w:tc>
          <w:tcPr>
            <w:tcW w:w="3572" w:type="dxa"/>
            <w:tcBorders>
              <w:top w:val="single" w:sz="6" w:space="0" w:color="C00000"/>
              <w:bottom w:val="single" w:sz="6" w:space="0" w:color="C00000"/>
            </w:tcBorders>
            <w:shd w:val="clear" w:color="auto" w:fill="FFFFFF" w:themeFill="background1"/>
          </w:tcPr>
          <w:p w14:paraId="7176D9D7" w14:textId="796C8812" w:rsidR="00FD54DE" w:rsidRDefault="00FD54DE" w:rsidP="00F96145">
            <w:pPr>
              <w:pStyle w:val="TableTextLeft"/>
              <w:spacing w:before="20" w:after="20"/>
            </w:pPr>
            <w:r>
              <w:t xml:space="preserve">Relief for the division of property in a recognised category of marriage breakdown (For example, a court order under the Family Law Act or under a state, territory or foreign law, binding financial agreements under the Family Law Act, and arbitral agreements).  </w:t>
            </w:r>
          </w:p>
        </w:tc>
        <w:tc>
          <w:tcPr>
            <w:tcW w:w="3117" w:type="dxa"/>
            <w:tcBorders>
              <w:top w:val="single" w:sz="6" w:space="0" w:color="C00000"/>
              <w:bottom w:val="single" w:sz="6" w:space="0" w:color="C00000"/>
            </w:tcBorders>
            <w:shd w:val="clear" w:color="auto" w:fill="FFFFFF" w:themeFill="background1"/>
          </w:tcPr>
          <w:p w14:paraId="5C14C6D8" w14:textId="54A3D266" w:rsidR="00FD54DE" w:rsidRDefault="00326680" w:rsidP="00F96145">
            <w:pPr>
              <w:pStyle w:val="TableTextLeft"/>
              <w:spacing w:before="20" w:after="20"/>
            </w:pPr>
            <w:r>
              <w:t>To avoid the possibility of undue financial hardship associated with marriage breakdowns.</w:t>
            </w:r>
          </w:p>
        </w:tc>
      </w:tr>
      <w:tr w:rsidR="00FD54DE" w:rsidRPr="006F14B4" w14:paraId="3C5338F6" w14:textId="0CC66015" w:rsidTr="0063194B">
        <w:tc>
          <w:tcPr>
            <w:tcW w:w="2027" w:type="dxa"/>
            <w:tcBorders>
              <w:top w:val="single" w:sz="6" w:space="0" w:color="C00000"/>
              <w:bottom w:val="single" w:sz="6" w:space="0" w:color="C00000"/>
            </w:tcBorders>
            <w:shd w:val="clear" w:color="auto" w:fill="FFFFFF" w:themeFill="background1"/>
          </w:tcPr>
          <w:p w14:paraId="212C996C" w14:textId="64CD05E7" w:rsidR="00FD54DE" w:rsidRDefault="00FD54DE" w:rsidP="00F96145">
            <w:pPr>
              <w:pStyle w:val="TableColumnHeadingLeft"/>
              <w:spacing w:before="20" w:after="20"/>
            </w:pPr>
            <w:r>
              <w:t>Small superannuation funds (relationship breakdown)</w:t>
            </w:r>
          </w:p>
        </w:tc>
        <w:tc>
          <w:tcPr>
            <w:tcW w:w="922" w:type="dxa"/>
            <w:tcBorders>
              <w:top w:val="single" w:sz="6" w:space="0" w:color="C00000"/>
              <w:bottom w:val="single" w:sz="6" w:space="0" w:color="C00000"/>
            </w:tcBorders>
            <w:shd w:val="clear" w:color="auto" w:fill="FFFFFF" w:themeFill="background1"/>
          </w:tcPr>
          <w:p w14:paraId="4706971B" w14:textId="598C2AA9" w:rsidR="00FD54DE" w:rsidRDefault="00FD54DE" w:rsidP="00172573">
            <w:pPr>
              <w:pStyle w:val="TableTextLeft"/>
              <w:spacing w:before="20" w:after="20"/>
            </w:pPr>
            <w:r>
              <w:t>126-D</w:t>
            </w:r>
          </w:p>
        </w:tc>
        <w:tc>
          <w:tcPr>
            <w:tcW w:w="3572" w:type="dxa"/>
            <w:tcBorders>
              <w:top w:val="single" w:sz="6" w:space="0" w:color="C00000"/>
              <w:bottom w:val="single" w:sz="6" w:space="0" w:color="C00000"/>
            </w:tcBorders>
            <w:shd w:val="clear" w:color="auto" w:fill="FFFFFF" w:themeFill="background1"/>
          </w:tcPr>
          <w:p w14:paraId="62DFBC9A" w14:textId="219B6D52" w:rsidR="00FD54DE" w:rsidRDefault="00FD54DE" w:rsidP="00F96145">
            <w:pPr>
              <w:pStyle w:val="TableTextLeft"/>
              <w:spacing w:before="20" w:after="20"/>
            </w:pPr>
            <w:r>
              <w:t xml:space="preserve">Relief for various categories of ‘payment splits’ between spouses under which assets are transferred between super funds (with four or fewer members) as a result of marriage breakdown. </w:t>
            </w:r>
          </w:p>
        </w:tc>
        <w:tc>
          <w:tcPr>
            <w:tcW w:w="3117" w:type="dxa"/>
            <w:tcBorders>
              <w:top w:val="single" w:sz="6" w:space="0" w:color="C00000"/>
              <w:bottom w:val="single" w:sz="6" w:space="0" w:color="C00000"/>
            </w:tcBorders>
            <w:shd w:val="clear" w:color="auto" w:fill="FFFFFF" w:themeFill="background1"/>
          </w:tcPr>
          <w:p w14:paraId="3160C432" w14:textId="70EF667C" w:rsidR="00FD54DE" w:rsidRDefault="00326680" w:rsidP="00F96145">
            <w:pPr>
              <w:pStyle w:val="TableTextLeft"/>
              <w:spacing w:before="20" w:after="20"/>
            </w:pPr>
            <w:r>
              <w:t>To recognise appropriate tax treatment to superannuation interests that are split pursuant to marriage breakdowns.</w:t>
            </w:r>
          </w:p>
        </w:tc>
      </w:tr>
      <w:tr w:rsidR="008A1227" w:rsidRPr="006F14B4" w14:paraId="2A7F0599" w14:textId="1B0D4F24" w:rsidTr="0063194B">
        <w:tc>
          <w:tcPr>
            <w:tcW w:w="6521" w:type="dxa"/>
            <w:gridSpan w:val="3"/>
            <w:tcBorders>
              <w:top w:val="single" w:sz="6" w:space="0" w:color="C00000"/>
              <w:bottom w:val="single" w:sz="6" w:space="0" w:color="C00000"/>
            </w:tcBorders>
            <w:shd w:val="clear" w:color="auto" w:fill="F2F2F2" w:themeFill="background1" w:themeFillShade="F2"/>
          </w:tcPr>
          <w:p w14:paraId="0AF66B4C" w14:textId="4449A1DC" w:rsidR="008A1227" w:rsidRDefault="008A1227" w:rsidP="008A1227">
            <w:pPr>
              <w:pStyle w:val="TableColumnHeadingLeft"/>
            </w:pPr>
            <w:r>
              <w:rPr>
                <w:sz w:val="28"/>
              </w:rPr>
              <w:t xml:space="preserve">Business reorganisations which allow </w:t>
            </w:r>
            <w:r w:rsidR="00DD4C95">
              <w:rPr>
                <w:sz w:val="28"/>
              </w:rPr>
              <w:t xml:space="preserve">for </w:t>
            </w:r>
            <w:r>
              <w:rPr>
                <w:sz w:val="28"/>
              </w:rPr>
              <w:t>change</w:t>
            </w:r>
            <w:r w:rsidR="00DD4C95">
              <w:rPr>
                <w:sz w:val="28"/>
              </w:rPr>
              <w:t>s</w:t>
            </w:r>
            <w:r>
              <w:rPr>
                <w:sz w:val="28"/>
              </w:rPr>
              <w:t xml:space="preserve"> in underlying economic ownership</w:t>
            </w:r>
          </w:p>
        </w:tc>
        <w:tc>
          <w:tcPr>
            <w:tcW w:w="3117" w:type="dxa"/>
            <w:tcBorders>
              <w:top w:val="single" w:sz="6" w:space="0" w:color="C00000"/>
              <w:bottom w:val="single" w:sz="6" w:space="0" w:color="C00000"/>
            </w:tcBorders>
            <w:shd w:val="clear" w:color="auto" w:fill="F2F2F2" w:themeFill="background1" w:themeFillShade="F2"/>
          </w:tcPr>
          <w:p w14:paraId="68A1CD5A" w14:textId="20409581" w:rsidR="008A1227" w:rsidRDefault="008A1227" w:rsidP="008A1227">
            <w:pPr>
              <w:pStyle w:val="TableColumnHeadingLeft"/>
              <w:jc w:val="center"/>
              <w:rPr>
                <w:sz w:val="28"/>
              </w:rPr>
            </w:pPr>
          </w:p>
        </w:tc>
      </w:tr>
      <w:tr w:rsidR="008A1227" w:rsidRPr="006F14B4" w14:paraId="2B83415D" w14:textId="77777777" w:rsidTr="009B2FDE">
        <w:tc>
          <w:tcPr>
            <w:tcW w:w="2027" w:type="dxa"/>
            <w:tcBorders>
              <w:top w:val="single" w:sz="6" w:space="0" w:color="C00000"/>
              <w:bottom w:val="single" w:sz="6" w:space="0" w:color="C00000"/>
            </w:tcBorders>
            <w:shd w:val="clear" w:color="auto" w:fill="FFFFFF" w:themeFill="background1"/>
          </w:tcPr>
          <w:p w14:paraId="37E16B0F" w14:textId="309BE92C" w:rsidR="008A1227" w:rsidRPr="004246FE" w:rsidRDefault="008A1227" w:rsidP="008A1227">
            <w:pPr>
              <w:pStyle w:val="TableColumnHeadingLeft"/>
              <w:spacing w:beforeLines="20" w:before="48" w:afterLines="20" w:after="48"/>
            </w:pPr>
            <w:r>
              <w:t xml:space="preserve">Scrip-for-scrip  </w:t>
            </w:r>
          </w:p>
        </w:tc>
        <w:tc>
          <w:tcPr>
            <w:tcW w:w="922" w:type="dxa"/>
            <w:tcBorders>
              <w:top w:val="single" w:sz="6" w:space="0" w:color="C00000"/>
              <w:bottom w:val="single" w:sz="6" w:space="0" w:color="C00000"/>
            </w:tcBorders>
            <w:shd w:val="clear" w:color="auto" w:fill="FFFFFF" w:themeFill="background1"/>
          </w:tcPr>
          <w:p w14:paraId="5DD4E448" w14:textId="729CB872" w:rsidR="008A1227" w:rsidRDefault="008A1227" w:rsidP="008A1227">
            <w:pPr>
              <w:pStyle w:val="TableTextLeft"/>
              <w:spacing w:beforeLines="20" w:before="48" w:afterLines="20" w:after="48"/>
            </w:pPr>
            <w:r>
              <w:t>124-M</w:t>
            </w:r>
          </w:p>
        </w:tc>
        <w:tc>
          <w:tcPr>
            <w:tcW w:w="3572" w:type="dxa"/>
            <w:tcBorders>
              <w:top w:val="single" w:sz="6" w:space="0" w:color="C00000"/>
              <w:bottom w:val="single" w:sz="6" w:space="0" w:color="C00000"/>
            </w:tcBorders>
            <w:shd w:val="clear" w:color="auto" w:fill="FFFFFF" w:themeFill="background1"/>
          </w:tcPr>
          <w:p w14:paraId="015CEE5F" w14:textId="77777777" w:rsidR="008A1227" w:rsidRDefault="008A1227" w:rsidP="008A1227">
            <w:pPr>
              <w:pStyle w:val="TableTextLeft"/>
              <w:spacing w:beforeLines="20" w:before="48" w:afterLines="20" w:after="48"/>
              <w:rPr>
                <w:rFonts w:cs="Calibri"/>
                <w:szCs w:val="22"/>
              </w:rPr>
            </w:pPr>
            <w:r w:rsidRPr="00121D2D">
              <w:rPr>
                <w:rFonts w:cs="Calibri"/>
                <w:szCs w:val="22"/>
              </w:rPr>
              <w:t>Relief provided when there is an exchange of interests in companies or fixed trusts</w:t>
            </w:r>
            <w:r>
              <w:rPr>
                <w:rFonts w:cs="Calibri"/>
                <w:szCs w:val="22"/>
              </w:rPr>
              <w:t>, typically</w:t>
            </w:r>
            <w:r w:rsidRPr="00121D2D">
              <w:rPr>
                <w:rFonts w:cs="Calibri"/>
                <w:szCs w:val="22"/>
              </w:rPr>
              <w:t xml:space="preserve"> because of a takeover. CGT liability is deferred until ultimate disposal of the replacement share or trust interest. </w:t>
            </w:r>
          </w:p>
          <w:p w14:paraId="6B1FB02B" w14:textId="77777777" w:rsidR="008A1227" w:rsidRPr="00121D2D" w:rsidRDefault="008A1227" w:rsidP="008A1227">
            <w:pPr>
              <w:pStyle w:val="TableTextLeft"/>
              <w:spacing w:beforeLines="20" w:before="48" w:afterLines="20" w:after="48"/>
              <w:rPr>
                <w:szCs w:val="22"/>
              </w:rPr>
            </w:pPr>
          </w:p>
        </w:tc>
        <w:tc>
          <w:tcPr>
            <w:tcW w:w="3117" w:type="dxa"/>
            <w:tcBorders>
              <w:top w:val="single" w:sz="6" w:space="0" w:color="C00000"/>
              <w:bottom w:val="single" w:sz="6" w:space="0" w:color="C00000"/>
            </w:tcBorders>
            <w:shd w:val="clear" w:color="auto" w:fill="FFFFFF" w:themeFill="background1"/>
          </w:tcPr>
          <w:p w14:paraId="1F9829AB" w14:textId="59626BEF" w:rsidR="008A1227" w:rsidRPr="002911E4" w:rsidRDefault="008A1227" w:rsidP="008A1227">
            <w:pPr>
              <w:pStyle w:val="TableTextLeft"/>
              <w:spacing w:beforeLines="20" w:before="48" w:afterLines="20" w:after="48"/>
              <w:rPr>
                <w:szCs w:val="22"/>
              </w:rPr>
            </w:pPr>
            <w:r>
              <w:rPr>
                <w:rFonts w:cs="Calibri"/>
                <w:szCs w:val="22"/>
              </w:rPr>
              <w:t xml:space="preserve">To </w:t>
            </w:r>
            <w:r w:rsidRPr="00121D2D">
              <w:rPr>
                <w:szCs w:val="22"/>
              </w:rPr>
              <w:t>enable start-up and innovative enterprises to undergo capital restructuring during the development phase without triggerin</w:t>
            </w:r>
            <w:r>
              <w:rPr>
                <w:szCs w:val="22"/>
              </w:rPr>
              <w:t>g a capital gains tax liability, encourage</w:t>
            </w:r>
            <w:r w:rsidRPr="00121D2D">
              <w:rPr>
                <w:szCs w:val="22"/>
              </w:rPr>
              <w:t xml:space="preserve"> such businesses to remain in Australia, r</w:t>
            </w:r>
            <w:r>
              <w:rPr>
                <w:szCs w:val="22"/>
              </w:rPr>
              <w:t xml:space="preserve">ather than to relocate offshore, </w:t>
            </w:r>
            <w:r w:rsidRPr="00121D2D">
              <w:rPr>
                <w:szCs w:val="22"/>
              </w:rPr>
              <w:t>remove a major impe</w:t>
            </w:r>
            <w:r>
              <w:rPr>
                <w:szCs w:val="22"/>
              </w:rPr>
              <w:t xml:space="preserve">diment to mergers and takeovers, </w:t>
            </w:r>
            <w:r w:rsidRPr="00121D2D">
              <w:rPr>
                <w:szCs w:val="22"/>
              </w:rPr>
              <w:t>and</w:t>
            </w:r>
            <w:r>
              <w:rPr>
                <w:szCs w:val="22"/>
              </w:rPr>
              <w:t xml:space="preserve"> to</w:t>
            </w:r>
            <w:r w:rsidR="002911E4">
              <w:rPr>
                <w:szCs w:val="22"/>
              </w:rPr>
              <w:t xml:space="preserve"> </w:t>
            </w:r>
            <w:r w:rsidRPr="00121D2D">
              <w:rPr>
                <w:szCs w:val="22"/>
              </w:rPr>
              <w:t>improve economic efficiency by enhancing the functioning of, and value-creation by, the corporate sector.</w:t>
            </w:r>
          </w:p>
        </w:tc>
      </w:tr>
      <w:tr w:rsidR="008A1227" w:rsidRPr="006F14B4" w14:paraId="65E7A303" w14:textId="77777777" w:rsidTr="009B2FDE">
        <w:tc>
          <w:tcPr>
            <w:tcW w:w="2027" w:type="dxa"/>
            <w:tcBorders>
              <w:top w:val="single" w:sz="6" w:space="0" w:color="C00000"/>
              <w:bottom w:val="single" w:sz="6" w:space="0" w:color="C00000"/>
            </w:tcBorders>
            <w:shd w:val="clear" w:color="auto" w:fill="FFFFFF" w:themeFill="background1"/>
          </w:tcPr>
          <w:p w14:paraId="099C322F" w14:textId="6F0ADE6F" w:rsidR="008A1227" w:rsidRPr="004246FE" w:rsidRDefault="008A1227" w:rsidP="008A1227">
            <w:pPr>
              <w:pStyle w:val="TableColumnHeadingLeft"/>
              <w:spacing w:beforeLines="20" w:before="48" w:afterLines="20" w:after="48"/>
              <w:rPr>
                <w:bCs/>
                <w:color w:val="44546A" w:themeColor="text2"/>
                <w:sz w:val="22"/>
              </w:rPr>
            </w:pPr>
            <w:r>
              <w:t>Exchange of Medical defence organisation (MDO) scrip for another MDO scrip</w:t>
            </w:r>
          </w:p>
        </w:tc>
        <w:tc>
          <w:tcPr>
            <w:tcW w:w="922" w:type="dxa"/>
            <w:tcBorders>
              <w:top w:val="single" w:sz="6" w:space="0" w:color="C00000"/>
              <w:bottom w:val="single" w:sz="6" w:space="0" w:color="C00000"/>
            </w:tcBorders>
            <w:shd w:val="clear" w:color="auto" w:fill="FFFFFF" w:themeFill="background1"/>
          </w:tcPr>
          <w:p w14:paraId="483DD990" w14:textId="77777777" w:rsidR="008A1227" w:rsidRPr="004246FE" w:rsidRDefault="008A1227" w:rsidP="008A1227">
            <w:pPr>
              <w:pStyle w:val="TableTextLeft"/>
              <w:spacing w:beforeLines="20" w:before="48" w:afterLines="20" w:after="48"/>
            </w:pPr>
            <w:r>
              <w:t>124-P</w:t>
            </w:r>
          </w:p>
        </w:tc>
        <w:tc>
          <w:tcPr>
            <w:tcW w:w="3572" w:type="dxa"/>
            <w:tcBorders>
              <w:top w:val="single" w:sz="6" w:space="0" w:color="C00000"/>
              <w:bottom w:val="single" w:sz="6" w:space="0" w:color="C00000"/>
            </w:tcBorders>
            <w:shd w:val="clear" w:color="auto" w:fill="FFFFFF" w:themeFill="background1"/>
          </w:tcPr>
          <w:p w14:paraId="07D054C3" w14:textId="77777777" w:rsidR="008A1227" w:rsidRDefault="008A1227" w:rsidP="008A1227">
            <w:pPr>
              <w:pStyle w:val="TableTextLeft"/>
              <w:spacing w:beforeLines="20" w:before="48" w:afterLines="20" w:after="48"/>
            </w:pPr>
            <w:r>
              <w:t>Extends the scrip-for-scrip roll-over to membership interests in companies limited by guarantee that are medical defence organisations.</w:t>
            </w:r>
          </w:p>
          <w:p w14:paraId="5E508272" w14:textId="77777777" w:rsidR="008A1227" w:rsidRPr="004246FE" w:rsidRDefault="008A1227" w:rsidP="008A1227">
            <w:pPr>
              <w:pStyle w:val="TableTextLeft"/>
              <w:spacing w:beforeLines="20" w:before="48" w:afterLines="20" w:after="48"/>
              <w:rPr>
                <w:b/>
                <w:bCs/>
                <w:color w:val="44546A" w:themeColor="text2"/>
                <w:szCs w:val="24"/>
              </w:rPr>
            </w:pPr>
          </w:p>
        </w:tc>
        <w:tc>
          <w:tcPr>
            <w:tcW w:w="3117" w:type="dxa"/>
            <w:tcBorders>
              <w:top w:val="single" w:sz="6" w:space="0" w:color="C00000"/>
              <w:bottom w:val="single" w:sz="6" w:space="0" w:color="C00000"/>
            </w:tcBorders>
            <w:shd w:val="clear" w:color="auto" w:fill="FFFFFF" w:themeFill="background1"/>
          </w:tcPr>
          <w:p w14:paraId="51A945CD" w14:textId="39AE4E9E" w:rsidR="008A1227" w:rsidRDefault="008A1227" w:rsidP="008A1227">
            <w:pPr>
              <w:pStyle w:val="TableTextLeft"/>
              <w:spacing w:beforeLines="20" w:before="48" w:afterLines="20" w:after="48"/>
            </w:pPr>
            <w:r>
              <w:t>To achieve a better allocation of the nation’s capital resources by removing CGT as an impediment to mergers of medical defence organisations, in alignment with scrip-for-scrip roll-over.</w:t>
            </w:r>
          </w:p>
        </w:tc>
      </w:tr>
      <w:tr w:rsidR="008A1227" w:rsidRPr="006F14B4" w14:paraId="4BAF5798" w14:textId="77777777" w:rsidTr="009B2FDE">
        <w:tc>
          <w:tcPr>
            <w:tcW w:w="2027" w:type="dxa"/>
            <w:tcBorders>
              <w:top w:val="single" w:sz="6" w:space="0" w:color="C00000"/>
              <w:bottom w:val="single" w:sz="6" w:space="0" w:color="C00000"/>
            </w:tcBorders>
            <w:shd w:val="clear" w:color="auto" w:fill="FFFFFF" w:themeFill="background1"/>
          </w:tcPr>
          <w:p w14:paraId="3C0FAD9C" w14:textId="05B63224" w:rsidR="008A1227" w:rsidRPr="004246FE" w:rsidRDefault="008A1227" w:rsidP="008A1227">
            <w:pPr>
              <w:pStyle w:val="TableColumnHeadingLeft"/>
              <w:spacing w:beforeLines="20" w:before="48" w:afterLines="20" w:after="48"/>
            </w:pPr>
            <w:r>
              <w:t>Mining interest realignments</w:t>
            </w:r>
          </w:p>
        </w:tc>
        <w:tc>
          <w:tcPr>
            <w:tcW w:w="922" w:type="dxa"/>
            <w:tcBorders>
              <w:top w:val="single" w:sz="6" w:space="0" w:color="C00000"/>
              <w:bottom w:val="single" w:sz="6" w:space="0" w:color="C00000"/>
            </w:tcBorders>
            <w:shd w:val="clear" w:color="auto" w:fill="FFFFFF" w:themeFill="background1"/>
          </w:tcPr>
          <w:p w14:paraId="40841A68" w14:textId="77777777" w:rsidR="008A1227" w:rsidRPr="004246FE" w:rsidRDefault="008A1227" w:rsidP="008A1227">
            <w:pPr>
              <w:pStyle w:val="TableTextLeft"/>
              <w:spacing w:beforeLines="20" w:before="48" w:afterLines="20" w:after="48"/>
            </w:pPr>
            <w:r>
              <w:t>124-S</w:t>
            </w:r>
          </w:p>
        </w:tc>
        <w:tc>
          <w:tcPr>
            <w:tcW w:w="3572" w:type="dxa"/>
            <w:tcBorders>
              <w:top w:val="single" w:sz="6" w:space="0" w:color="C00000"/>
              <w:bottom w:val="single" w:sz="6" w:space="0" w:color="C00000"/>
            </w:tcBorders>
            <w:shd w:val="clear" w:color="auto" w:fill="FFFFFF" w:themeFill="background1"/>
          </w:tcPr>
          <w:p w14:paraId="26F5CE5E" w14:textId="77777777" w:rsidR="008A1227" w:rsidRDefault="008A1227" w:rsidP="008A1227">
            <w:pPr>
              <w:pStyle w:val="TableTextLeft"/>
              <w:spacing w:beforeLines="20" w:before="48" w:afterLines="20" w:after="48"/>
            </w:pPr>
            <w:r>
              <w:t xml:space="preserve">Relief for the realignment of interests in mining, quarrying and </w:t>
            </w:r>
            <w:r>
              <w:lastRenderedPageBreak/>
              <w:t>prospecting rights as part of a common development project.</w:t>
            </w:r>
          </w:p>
          <w:p w14:paraId="3EFAA3AC" w14:textId="77777777" w:rsidR="008A1227" w:rsidRPr="004246FE" w:rsidRDefault="008A1227" w:rsidP="008A1227">
            <w:pPr>
              <w:pStyle w:val="TableTextLeft"/>
              <w:spacing w:beforeLines="20" w:before="48" w:afterLines="20" w:after="48"/>
            </w:pPr>
          </w:p>
        </w:tc>
        <w:tc>
          <w:tcPr>
            <w:tcW w:w="3117" w:type="dxa"/>
            <w:tcBorders>
              <w:top w:val="single" w:sz="6" w:space="0" w:color="C00000"/>
              <w:bottom w:val="single" w:sz="6" w:space="0" w:color="C00000"/>
            </w:tcBorders>
            <w:shd w:val="clear" w:color="auto" w:fill="FFFFFF" w:themeFill="background1"/>
          </w:tcPr>
          <w:p w14:paraId="3065C7D1" w14:textId="1A5338C9" w:rsidR="008A1227" w:rsidRDefault="008A1227" w:rsidP="008A1227">
            <w:pPr>
              <w:pStyle w:val="TableTextLeft"/>
              <w:spacing w:beforeLines="20" w:before="48" w:afterLines="20" w:after="48"/>
            </w:pPr>
            <w:r>
              <w:lastRenderedPageBreak/>
              <w:t xml:space="preserve">To facilitate common development projects between </w:t>
            </w:r>
            <w:r>
              <w:lastRenderedPageBreak/>
              <w:t>joint venture partners in the minerals and petroleum industry, including combining neighbouring fields into one project and sharing planning, research and infrastructure construction expenditure.</w:t>
            </w:r>
          </w:p>
        </w:tc>
      </w:tr>
      <w:tr w:rsidR="008A1227" w:rsidRPr="006F14B4" w14:paraId="2826BC8D" w14:textId="77777777" w:rsidTr="009B2FDE">
        <w:tc>
          <w:tcPr>
            <w:tcW w:w="2027" w:type="dxa"/>
            <w:tcBorders>
              <w:top w:val="single" w:sz="6" w:space="0" w:color="C00000"/>
              <w:bottom w:val="single" w:sz="6" w:space="0" w:color="C00000"/>
            </w:tcBorders>
            <w:shd w:val="clear" w:color="auto" w:fill="FFFFFF" w:themeFill="background1"/>
          </w:tcPr>
          <w:p w14:paraId="7CA853E1" w14:textId="7B878DAE" w:rsidR="008A1227" w:rsidRDefault="008A1227" w:rsidP="008A1227">
            <w:pPr>
              <w:pStyle w:val="TableColumnHeadingLeft"/>
              <w:spacing w:beforeLines="20" w:before="48" w:afterLines="20" w:after="48"/>
            </w:pPr>
            <w:r w:rsidRPr="00042107">
              <w:lastRenderedPageBreak/>
              <w:t>Entitlement to shares after demutualisation and scrip-for-scrip</w:t>
            </w:r>
          </w:p>
        </w:tc>
        <w:tc>
          <w:tcPr>
            <w:tcW w:w="922" w:type="dxa"/>
            <w:tcBorders>
              <w:top w:val="single" w:sz="6" w:space="0" w:color="C00000"/>
              <w:bottom w:val="single" w:sz="6" w:space="0" w:color="C00000"/>
            </w:tcBorders>
            <w:shd w:val="clear" w:color="auto" w:fill="FFFFFF" w:themeFill="background1"/>
          </w:tcPr>
          <w:p w14:paraId="60A6DD11" w14:textId="77777777" w:rsidR="008A1227" w:rsidRDefault="008A1227" w:rsidP="008A1227">
            <w:pPr>
              <w:pStyle w:val="TableTextLeft"/>
              <w:spacing w:beforeLines="20" w:before="48" w:afterLines="20" w:after="48"/>
            </w:pPr>
            <w:r w:rsidRPr="00042107">
              <w:t>126-E</w:t>
            </w:r>
          </w:p>
        </w:tc>
        <w:tc>
          <w:tcPr>
            <w:tcW w:w="3572" w:type="dxa"/>
            <w:tcBorders>
              <w:top w:val="single" w:sz="6" w:space="0" w:color="C00000"/>
              <w:bottom w:val="single" w:sz="6" w:space="0" w:color="C00000"/>
            </w:tcBorders>
            <w:shd w:val="clear" w:color="auto" w:fill="FFFFFF" w:themeFill="background1"/>
          </w:tcPr>
          <w:p w14:paraId="7C7BC3FE" w14:textId="77777777" w:rsidR="008A1227" w:rsidRDefault="008A1227" w:rsidP="008A1227">
            <w:pPr>
              <w:pStyle w:val="TableTextLeft"/>
              <w:spacing w:beforeLines="20" w:before="48" w:afterLines="20" w:after="48"/>
            </w:pPr>
            <w:r w:rsidRPr="00042107">
              <w:t xml:space="preserve">Relief for the shares acquired in insurance company demutualisations that are exchanged for replacement shares in a scrip-for-scrip transaction.  </w:t>
            </w:r>
          </w:p>
        </w:tc>
        <w:tc>
          <w:tcPr>
            <w:tcW w:w="3117" w:type="dxa"/>
            <w:tcBorders>
              <w:top w:val="single" w:sz="6" w:space="0" w:color="C00000"/>
              <w:bottom w:val="single" w:sz="6" w:space="0" w:color="C00000"/>
            </w:tcBorders>
            <w:shd w:val="clear" w:color="auto" w:fill="FFFFFF" w:themeFill="background1"/>
          </w:tcPr>
          <w:p w14:paraId="331AD9EA" w14:textId="577696E4" w:rsidR="008A1227" w:rsidRPr="00042107" w:rsidRDefault="008A1227" w:rsidP="008A1227">
            <w:pPr>
              <w:pStyle w:val="TableTextLeft"/>
              <w:spacing w:beforeLines="20" w:before="48" w:afterLines="20" w:after="48"/>
            </w:pPr>
            <w:r>
              <w:t xml:space="preserve">Technical amendment for </w:t>
            </w:r>
            <w:r w:rsidRPr="0001244E">
              <w:rPr>
                <w:color w:val="auto"/>
              </w:rPr>
              <w:t>policyholder</w:t>
            </w:r>
            <w:r>
              <w:rPr>
                <w:color w:val="auto"/>
              </w:rPr>
              <w:t>s</w:t>
            </w:r>
            <w:r w:rsidRPr="0001244E">
              <w:rPr>
                <w:color w:val="auto"/>
              </w:rPr>
              <w:t>/member</w:t>
            </w:r>
            <w:r>
              <w:rPr>
                <w:color w:val="auto"/>
              </w:rPr>
              <w:t>s</w:t>
            </w:r>
            <w:r w:rsidRPr="0001244E">
              <w:rPr>
                <w:color w:val="auto"/>
              </w:rPr>
              <w:t xml:space="preserve"> of a mutu</w:t>
            </w:r>
            <w:r>
              <w:rPr>
                <w:color w:val="auto"/>
              </w:rPr>
              <w:t>al insurance company who become</w:t>
            </w:r>
            <w:r w:rsidRPr="0001244E">
              <w:rPr>
                <w:color w:val="auto"/>
              </w:rPr>
              <w:t xml:space="preserve"> absolutely entitled to certain shares held on trust as part of a demutualisation</w:t>
            </w:r>
            <w:r>
              <w:rPr>
                <w:color w:val="auto"/>
              </w:rPr>
              <w:t xml:space="preserve"> under 124-M.</w:t>
            </w:r>
          </w:p>
        </w:tc>
      </w:tr>
      <w:tr w:rsidR="008A1227" w:rsidRPr="006F14B4" w14:paraId="2FC48E92" w14:textId="77777777" w:rsidTr="009B2FDE">
        <w:tc>
          <w:tcPr>
            <w:tcW w:w="2027" w:type="dxa"/>
            <w:tcBorders>
              <w:top w:val="single" w:sz="6" w:space="0" w:color="C00000"/>
              <w:bottom w:val="single" w:sz="6" w:space="0" w:color="C00000"/>
            </w:tcBorders>
            <w:shd w:val="clear" w:color="auto" w:fill="FFFFFF" w:themeFill="background1"/>
          </w:tcPr>
          <w:p w14:paraId="5718FF74" w14:textId="011165E8" w:rsidR="008A1227" w:rsidRDefault="008A1227" w:rsidP="008A1227">
            <w:pPr>
              <w:pStyle w:val="TableColumnHeadingLeft"/>
              <w:spacing w:beforeLines="20" w:before="48" w:afterLines="20" w:after="48"/>
            </w:pPr>
            <w:r>
              <w:t>Merging superannuation funds roll-over</w:t>
            </w:r>
          </w:p>
        </w:tc>
        <w:tc>
          <w:tcPr>
            <w:tcW w:w="922" w:type="dxa"/>
            <w:tcBorders>
              <w:top w:val="single" w:sz="6" w:space="0" w:color="C00000"/>
              <w:bottom w:val="single" w:sz="6" w:space="0" w:color="C00000"/>
            </w:tcBorders>
            <w:shd w:val="clear" w:color="auto" w:fill="FFFFFF" w:themeFill="background1"/>
          </w:tcPr>
          <w:p w14:paraId="750CDA69" w14:textId="48BB05F5" w:rsidR="008A1227" w:rsidRDefault="008A1227" w:rsidP="008A1227">
            <w:pPr>
              <w:pStyle w:val="TableTextLeft"/>
              <w:spacing w:beforeLines="20" w:before="48" w:afterLines="20" w:after="48"/>
            </w:pPr>
            <w:r>
              <w:t>310</w:t>
            </w:r>
          </w:p>
        </w:tc>
        <w:tc>
          <w:tcPr>
            <w:tcW w:w="3572" w:type="dxa"/>
            <w:tcBorders>
              <w:top w:val="single" w:sz="6" w:space="0" w:color="C00000"/>
              <w:bottom w:val="single" w:sz="6" w:space="0" w:color="C00000"/>
            </w:tcBorders>
            <w:shd w:val="clear" w:color="auto" w:fill="FFFFFF" w:themeFill="background1"/>
          </w:tcPr>
          <w:p w14:paraId="0923D3C0" w14:textId="4244140D" w:rsidR="008A1227" w:rsidRDefault="008A1227" w:rsidP="008A1227">
            <w:pPr>
              <w:pStyle w:val="TableTextLeft"/>
              <w:spacing w:beforeLines="20" w:before="48" w:afterLines="20" w:after="48"/>
            </w:pPr>
            <w:r>
              <w:t xml:space="preserve">Relief for superannuation fund mergers that arise as a result of regulatory change affecting superannuation funds. </w:t>
            </w:r>
          </w:p>
        </w:tc>
        <w:tc>
          <w:tcPr>
            <w:tcW w:w="3117" w:type="dxa"/>
            <w:tcBorders>
              <w:top w:val="single" w:sz="6" w:space="0" w:color="C00000"/>
              <w:bottom w:val="single" w:sz="6" w:space="0" w:color="C00000"/>
            </w:tcBorders>
            <w:shd w:val="clear" w:color="auto" w:fill="FFFFFF" w:themeFill="background1"/>
          </w:tcPr>
          <w:p w14:paraId="3E7F2BEA" w14:textId="07CA9060" w:rsidR="008A1227" w:rsidRDefault="008A1227" w:rsidP="008A1227">
            <w:pPr>
              <w:pStyle w:val="TableTextLeft"/>
              <w:spacing w:beforeLines="20" w:before="48" w:afterLines="20" w:after="48"/>
            </w:pPr>
            <w:r>
              <w:t>To remove tax as an impediment to mergers and facilitate industry consolidation, consistent with the Productivity Commission’s final report, Superannuation: Assessing Efficiency and Competitiveness. Consolidation would help address inefficiencies by reducing costs, managing risks and increasing scale, leading to improved retirement outcomes for members.</w:t>
            </w:r>
          </w:p>
        </w:tc>
      </w:tr>
      <w:tr w:rsidR="008A1227" w:rsidRPr="006F14B4" w14:paraId="1EE3795D" w14:textId="77777777" w:rsidTr="00FD7AA2">
        <w:tc>
          <w:tcPr>
            <w:tcW w:w="9638" w:type="dxa"/>
            <w:gridSpan w:val="4"/>
            <w:tcBorders>
              <w:top w:val="single" w:sz="6" w:space="0" w:color="C00000"/>
              <w:bottom w:val="single" w:sz="6" w:space="0" w:color="C00000"/>
            </w:tcBorders>
            <w:shd w:val="clear" w:color="auto" w:fill="F2F2F2" w:themeFill="background1" w:themeFillShade="F2"/>
          </w:tcPr>
          <w:p w14:paraId="672F5BD9" w14:textId="038B0850" w:rsidR="008A1227" w:rsidRDefault="008A1227" w:rsidP="008A1227">
            <w:pPr>
              <w:pStyle w:val="TableColumnHeadingLeft"/>
              <w:spacing w:beforeLines="20" w:before="48" w:after="20"/>
            </w:pPr>
            <w:r>
              <w:rPr>
                <w:sz w:val="28"/>
              </w:rPr>
              <w:t>Replacement asset roll-over</w:t>
            </w:r>
          </w:p>
        </w:tc>
      </w:tr>
      <w:tr w:rsidR="008A1227" w:rsidRPr="006F14B4" w14:paraId="192D40D6" w14:textId="440AD240" w:rsidTr="0063194B">
        <w:tc>
          <w:tcPr>
            <w:tcW w:w="2027" w:type="dxa"/>
            <w:tcBorders>
              <w:top w:val="single" w:sz="6" w:space="0" w:color="C00000"/>
              <w:bottom w:val="single" w:sz="6" w:space="0" w:color="C00000"/>
            </w:tcBorders>
            <w:shd w:val="clear" w:color="auto" w:fill="FFFFFF" w:themeFill="background1"/>
          </w:tcPr>
          <w:p w14:paraId="5B15A5E2" w14:textId="2B677ACD" w:rsidR="008A1227" w:rsidRDefault="008A1227" w:rsidP="008A1227">
            <w:pPr>
              <w:pStyle w:val="TableColumnHeadingLeft"/>
              <w:spacing w:beforeLines="20" w:before="48" w:after="20"/>
            </w:pPr>
            <w:r>
              <w:t>Small business roll-over</w:t>
            </w:r>
          </w:p>
        </w:tc>
        <w:tc>
          <w:tcPr>
            <w:tcW w:w="922" w:type="dxa"/>
            <w:tcBorders>
              <w:top w:val="single" w:sz="6" w:space="0" w:color="C00000"/>
              <w:bottom w:val="single" w:sz="6" w:space="0" w:color="C00000"/>
            </w:tcBorders>
            <w:shd w:val="clear" w:color="auto" w:fill="FFFFFF" w:themeFill="background1"/>
          </w:tcPr>
          <w:p w14:paraId="6889ABDC" w14:textId="568893A0" w:rsidR="008A1227" w:rsidRDefault="008A1227" w:rsidP="008A1227">
            <w:pPr>
              <w:pStyle w:val="TableTextLeft"/>
              <w:spacing w:beforeLines="20" w:before="48" w:after="20"/>
            </w:pPr>
            <w:r>
              <w:t>152-E</w:t>
            </w:r>
          </w:p>
        </w:tc>
        <w:tc>
          <w:tcPr>
            <w:tcW w:w="3572" w:type="dxa"/>
            <w:tcBorders>
              <w:top w:val="single" w:sz="6" w:space="0" w:color="C00000"/>
              <w:bottom w:val="single" w:sz="6" w:space="0" w:color="C00000"/>
            </w:tcBorders>
            <w:shd w:val="clear" w:color="auto" w:fill="FFFFFF" w:themeFill="background1"/>
          </w:tcPr>
          <w:p w14:paraId="0493122F" w14:textId="0FE0EFDA" w:rsidR="008A1227" w:rsidRDefault="008A1227" w:rsidP="008A1227">
            <w:pPr>
              <w:pStyle w:val="TableTextLeft"/>
              <w:spacing w:beforeLines="20" w:before="48" w:after="20"/>
            </w:pPr>
            <w:r>
              <w:t xml:space="preserve">Relief for disposal of an ‘active asset’ of the business when a replacement ‘active asset’ is acquired within the stipulated period (two years). </w:t>
            </w:r>
          </w:p>
        </w:tc>
        <w:tc>
          <w:tcPr>
            <w:tcW w:w="3117" w:type="dxa"/>
            <w:tcBorders>
              <w:top w:val="single" w:sz="6" w:space="0" w:color="C00000"/>
              <w:bottom w:val="single" w:sz="6" w:space="0" w:color="C00000"/>
            </w:tcBorders>
            <w:shd w:val="clear" w:color="auto" w:fill="FFFFFF" w:themeFill="background1"/>
          </w:tcPr>
          <w:p w14:paraId="6E30BA0A" w14:textId="6AB02105" w:rsidR="008A1227" w:rsidRDefault="008A1227" w:rsidP="008A1227">
            <w:pPr>
              <w:pStyle w:val="TableTextLeft"/>
              <w:spacing w:beforeLines="20" w:before="48" w:after="20"/>
            </w:pPr>
            <w:r>
              <w:t>To ensure a lack of capital</w:t>
            </w:r>
            <w:r w:rsidRPr="001F167A">
              <w:t xml:space="preserve"> did not constrain the growth and development of small business.</w:t>
            </w:r>
          </w:p>
        </w:tc>
      </w:tr>
    </w:tbl>
    <w:p w14:paraId="6A5C9829" w14:textId="5F0A2A83" w:rsidR="00DD0A51" w:rsidRDefault="00DD0A51">
      <w:pPr>
        <w:spacing w:before="0" w:after="160" w:line="259" w:lineRule="auto"/>
      </w:pPr>
    </w:p>
    <w:p w14:paraId="195F93BB" w14:textId="227CBA0B" w:rsidR="00DA1588" w:rsidRDefault="00DC4370">
      <w:pPr>
        <w:spacing w:before="0" w:after="160" w:line="259" w:lineRule="auto"/>
      </w:pPr>
      <w:r>
        <w:t xml:space="preserve">* </w:t>
      </w:r>
      <w:r w:rsidR="00413F31">
        <w:t>S</w:t>
      </w:r>
      <w:r>
        <w:t>ignifies that the roll-over applies to assets subject to other tax</w:t>
      </w:r>
      <w:r w:rsidR="001A6FA7">
        <w:t xml:space="preserve"> asset</w:t>
      </w:r>
      <w:r>
        <w:t xml:space="preserve"> regimes, namely depreciating assets, trading stock and other revenue assets.</w:t>
      </w:r>
      <w:r w:rsidR="00902211">
        <w:t xml:space="preserve"> Section 40-340 mirrors the treatment of certain CGT roll-overs for depreciating assets. </w:t>
      </w:r>
    </w:p>
    <w:p w14:paraId="38E4B5A2" w14:textId="5FF48866" w:rsidR="00FC3978" w:rsidRDefault="00413F31">
      <w:pPr>
        <w:spacing w:before="0" w:after="160" w:line="259" w:lineRule="auto"/>
        <w:rPr>
          <w:rFonts w:cs="Arial"/>
          <w:color w:val="C00000"/>
          <w:kern w:val="32"/>
          <w:sz w:val="48"/>
          <w:szCs w:val="36"/>
        </w:rPr>
      </w:pPr>
      <w:r>
        <w:rPr>
          <w:rFonts w:ascii="Times New Roman" w:hAnsi="Times New Roman"/>
        </w:rPr>
        <w:t>†</w:t>
      </w:r>
      <w:r w:rsidR="00FC3978">
        <w:t xml:space="preserve"> The Small business restructure roll-over </w:t>
      </w:r>
      <w:r w:rsidR="008A1227">
        <w:t>generally applies to</w:t>
      </w:r>
      <w:r w:rsidR="008A1227" w:rsidRPr="008A1227">
        <w:t xml:space="preserve"> business reorganisations that do not result in a change in the underlying economic ownership of the transferred assets. In some limited circumstances, economic ownership is deemed to be maintained for business reorganisations involving discretionary trusts. This is a unique feature of the small business restructure roll-over.</w:t>
      </w:r>
    </w:p>
    <w:p w14:paraId="6A5C982A" w14:textId="60DC9D39" w:rsidR="009E171B" w:rsidRDefault="0048525C" w:rsidP="00814AFF">
      <w:pPr>
        <w:pStyle w:val="Heading1"/>
      </w:pPr>
      <w:r>
        <w:br w:type="page"/>
      </w:r>
      <w:bookmarkStart w:id="7" w:name="_Toc31967325"/>
      <w:r w:rsidR="00BE45E3">
        <w:lastRenderedPageBreak/>
        <w:t>Policy considerations for</w:t>
      </w:r>
      <w:r w:rsidR="00043A4B" w:rsidRPr="00043A4B">
        <w:t xml:space="preserve"> reform</w:t>
      </w:r>
      <w:bookmarkEnd w:id="7"/>
    </w:p>
    <w:p w14:paraId="77720025" w14:textId="7DF57CF5" w:rsidR="00BE45E3" w:rsidRPr="00296283" w:rsidRDefault="00BE45E3" w:rsidP="00BE45E3">
      <w:pPr>
        <w:rPr>
          <w:color w:val="002060"/>
          <w:sz w:val="28"/>
          <w:szCs w:val="28"/>
        </w:rPr>
      </w:pPr>
      <w:r>
        <w:rPr>
          <w:color w:val="002060"/>
          <w:sz w:val="28"/>
          <w:szCs w:val="28"/>
        </w:rPr>
        <w:t>The Boa</w:t>
      </w:r>
      <w:r w:rsidR="00AE7B68">
        <w:rPr>
          <w:color w:val="002060"/>
          <w:sz w:val="28"/>
          <w:szCs w:val="28"/>
        </w:rPr>
        <w:t xml:space="preserve">rd </w:t>
      </w:r>
      <w:r w:rsidR="004E28EA">
        <w:rPr>
          <w:color w:val="002060"/>
          <w:sz w:val="28"/>
          <w:szCs w:val="28"/>
        </w:rPr>
        <w:t>sets out below the key</w:t>
      </w:r>
      <w:r w:rsidR="00AE7B68">
        <w:rPr>
          <w:color w:val="002060"/>
          <w:sz w:val="28"/>
          <w:szCs w:val="28"/>
        </w:rPr>
        <w:t xml:space="preserve"> </w:t>
      </w:r>
      <w:r w:rsidR="00883471">
        <w:rPr>
          <w:color w:val="002060"/>
          <w:sz w:val="28"/>
          <w:szCs w:val="28"/>
        </w:rPr>
        <w:t xml:space="preserve">policy </w:t>
      </w:r>
      <w:r w:rsidR="00394FE5">
        <w:rPr>
          <w:color w:val="002060"/>
          <w:sz w:val="28"/>
          <w:szCs w:val="28"/>
        </w:rPr>
        <w:t>considerations</w:t>
      </w:r>
      <w:r>
        <w:rPr>
          <w:color w:val="002060"/>
          <w:sz w:val="28"/>
          <w:szCs w:val="28"/>
        </w:rPr>
        <w:t xml:space="preserve"> that are </w:t>
      </w:r>
      <w:r w:rsidR="00AE7B68">
        <w:rPr>
          <w:color w:val="002060"/>
          <w:sz w:val="28"/>
          <w:szCs w:val="28"/>
        </w:rPr>
        <w:t>intended</w:t>
      </w:r>
      <w:r w:rsidR="009E5938">
        <w:rPr>
          <w:color w:val="002060"/>
          <w:sz w:val="28"/>
          <w:szCs w:val="28"/>
        </w:rPr>
        <w:t>, not only</w:t>
      </w:r>
      <w:r w:rsidR="00AE7B68">
        <w:rPr>
          <w:color w:val="002060"/>
          <w:sz w:val="28"/>
          <w:szCs w:val="28"/>
        </w:rPr>
        <w:t xml:space="preserve"> as a framework to guide this review in alignment with its </w:t>
      </w:r>
      <w:r w:rsidR="00EA49B3">
        <w:rPr>
          <w:color w:val="002060"/>
          <w:sz w:val="28"/>
          <w:szCs w:val="28"/>
        </w:rPr>
        <w:t>terms of reference</w:t>
      </w:r>
      <w:r w:rsidR="009E5938">
        <w:rPr>
          <w:color w:val="002060"/>
          <w:sz w:val="28"/>
          <w:szCs w:val="28"/>
        </w:rPr>
        <w:t>, but also</w:t>
      </w:r>
      <w:r w:rsidR="004E28EA">
        <w:rPr>
          <w:color w:val="002060"/>
          <w:sz w:val="28"/>
          <w:szCs w:val="28"/>
        </w:rPr>
        <w:t xml:space="preserve"> as an educative guide for </w:t>
      </w:r>
      <w:r w:rsidR="00645E7B">
        <w:rPr>
          <w:color w:val="002060"/>
          <w:sz w:val="28"/>
          <w:szCs w:val="28"/>
        </w:rPr>
        <w:t xml:space="preserve">assessing </w:t>
      </w:r>
      <w:r w:rsidR="004E28EA">
        <w:rPr>
          <w:color w:val="002060"/>
          <w:sz w:val="28"/>
          <w:szCs w:val="28"/>
        </w:rPr>
        <w:t>r</w:t>
      </w:r>
      <w:r w:rsidR="009E5938">
        <w:rPr>
          <w:color w:val="002060"/>
          <w:sz w:val="28"/>
          <w:szCs w:val="28"/>
        </w:rPr>
        <w:t>oll-over policy going forward</w:t>
      </w:r>
      <w:r w:rsidR="004E28EA">
        <w:rPr>
          <w:color w:val="002060"/>
          <w:sz w:val="28"/>
          <w:szCs w:val="28"/>
        </w:rPr>
        <w:t>.</w:t>
      </w:r>
    </w:p>
    <w:p w14:paraId="6B74C58B" w14:textId="456D4B38" w:rsidR="00754A10" w:rsidRDefault="006E6ABB" w:rsidP="00B532D5">
      <w:pPr>
        <w:pStyle w:val="Introductionparagraph"/>
        <w:spacing w:after="120"/>
        <w:rPr>
          <w:color w:val="auto"/>
          <w:sz w:val="22"/>
          <w:szCs w:val="22"/>
        </w:rPr>
      </w:pPr>
      <w:r>
        <w:rPr>
          <w:color w:val="auto"/>
          <w:sz w:val="22"/>
          <w:szCs w:val="22"/>
        </w:rPr>
        <w:t xml:space="preserve">As with all </w:t>
      </w:r>
      <w:r w:rsidR="00D26AF8">
        <w:rPr>
          <w:color w:val="auto"/>
          <w:sz w:val="22"/>
          <w:szCs w:val="22"/>
        </w:rPr>
        <w:t>tax policy reform</w:t>
      </w:r>
      <w:r>
        <w:rPr>
          <w:color w:val="auto"/>
          <w:sz w:val="22"/>
          <w:szCs w:val="22"/>
        </w:rPr>
        <w:t>,</w:t>
      </w:r>
      <w:r w:rsidR="00D26AF8">
        <w:rPr>
          <w:color w:val="auto"/>
          <w:sz w:val="22"/>
          <w:szCs w:val="22"/>
        </w:rPr>
        <w:t xml:space="preserve"> </w:t>
      </w:r>
      <w:r w:rsidR="009E5938">
        <w:rPr>
          <w:color w:val="auto"/>
          <w:sz w:val="22"/>
          <w:szCs w:val="22"/>
        </w:rPr>
        <w:t xml:space="preserve">the </w:t>
      </w:r>
      <w:r>
        <w:rPr>
          <w:color w:val="auto"/>
          <w:sz w:val="22"/>
          <w:szCs w:val="22"/>
        </w:rPr>
        <w:t>applicat</w:t>
      </w:r>
      <w:r w:rsidR="00F359B8">
        <w:rPr>
          <w:color w:val="auto"/>
          <w:sz w:val="22"/>
          <w:szCs w:val="22"/>
        </w:rPr>
        <w:t>ion of these p</w:t>
      </w:r>
      <w:r w:rsidR="00394FE5">
        <w:rPr>
          <w:color w:val="auto"/>
          <w:sz w:val="22"/>
          <w:szCs w:val="22"/>
        </w:rPr>
        <w:t>olicy considerations</w:t>
      </w:r>
      <w:r w:rsidR="00392844">
        <w:rPr>
          <w:color w:val="auto"/>
          <w:sz w:val="22"/>
          <w:szCs w:val="22"/>
        </w:rPr>
        <w:t xml:space="preserve"> will</w:t>
      </w:r>
      <w:r w:rsidR="00D26AF8">
        <w:rPr>
          <w:color w:val="auto"/>
          <w:sz w:val="22"/>
          <w:szCs w:val="22"/>
        </w:rPr>
        <w:t xml:space="preserve"> </w:t>
      </w:r>
      <w:r w:rsidR="009E5938">
        <w:rPr>
          <w:color w:val="auto"/>
          <w:sz w:val="22"/>
          <w:szCs w:val="22"/>
        </w:rPr>
        <w:t xml:space="preserve">inevitably involve trade-offs. </w:t>
      </w:r>
      <w:r w:rsidR="002E7D71">
        <w:rPr>
          <w:color w:val="auto"/>
          <w:sz w:val="22"/>
          <w:szCs w:val="22"/>
        </w:rPr>
        <w:t>For example, e</w:t>
      </w:r>
      <w:r w:rsidR="009E5938">
        <w:rPr>
          <w:color w:val="auto"/>
          <w:sz w:val="22"/>
          <w:szCs w:val="22"/>
        </w:rPr>
        <w:t xml:space="preserve">mphasising equitable outcomes often comes at the expense of simplicity. </w:t>
      </w:r>
      <w:r w:rsidR="00392844">
        <w:rPr>
          <w:color w:val="auto"/>
          <w:sz w:val="22"/>
          <w:szCs w:val="22"/>
        </w:rPr>
        <w:t>In assessing the issues and reform proposals through this review, v</w:t>
      </w:r>
      <w:r w:rsidR="009E5938">
        <w:rPr>
          <w:color w:val="auto"/>
          <w:sz w:val="22"/>
          <w:szCs w:val="22"/>
        </w:rPr>
        <w:t xml:space="preserve">alue </w:t>
      </w:r>
      <w:r w:rsidR="00F359B8">
        <w:rPr>
          <w:color w:val="auto"/>
          <w:sz w:val="22"/>
          <w:szCs w:val="22"/>
        </w:rPr>
        <w:t>judg</w:t>
      </w:r>
      <w:r w:rsidR="00DD4C95">
        <w:rPr>
          <w:color w:val="auto"/>
          <w:sz w:val="22"/>
          <w:szCs w:val="22"/>
        </w:rPr>
        <w:t>e</w:t>
      </w:r>
      <w:r w:rsidR="00392844">
        <w:rPr>
          <w:color w:val="auto"/>
          <w:sz w:val="22"/>
          <w:szCs w:val="22"/>
        </w:rPr>
        <w:t xml:space="preserve">ments will need to be made as </w:t>
      </w:r>
      <w:r w:rsidR="002E7D71">
        <w:rPr>
          <w:color w:val="auto"/>
          <w:sz w:val="22"/>
          <w:szCs w:val="22"/>
        </w:rPr>
        <w:t>between the individual policy consideration</w:t>
      </w:r>
      <w:r w:rsidR="00CB4ACE">
        <w:rPr>
          <w:color w:val="auto"/>
          <w:sz w:val="22"/>
          <w:szCs w:val="22"/>
        </w:rPr>
        <w:t>s and the framework as a whole.</w:t>
      </w:r>
    </w:p>
    <w:p w14:paraId="3AE7927A" w14:textId="4848BBDC" w:rsidR="004E28EA" w:rsidRDefault="004E28EA" w:rsidP="00754A10">
      <w:pPr>
        <w:pStyle w:val="Introductionparagraph"/>
        <w:rPr>
          <w:color w:val="auto"/>
          <w:sz w:val="22"/>
          <w:szCs w:val="22"/>
        </w:rPr>
      </w:pPr>
      <w:r w:rsidRPr="004E28EA">
        <w:rPr>
          <w:color w:val="auto"/>
          <w:sz w:val="22"/>
          <w:szCs w:val="22"/>
        </w:rPr>
        <w:t xml:space="preserve">The Board welcomes </w:t>
      </w:r>
      <w:r w:rsidR="00B77F2A">
        <w:rPr>
          <w:color w:val="auto"/>
          <w:sz w:val="22"/>
          <w:szCs w:val="22"/>
        </w:rPr>
        <w:t>any</w:t>
      </w:r>
      <w:r w:rsidRPr="004E28EA">
        <w:rPr>
          <w:color w:val="auto"/>
          <w:sz w:val="22"/>
          <w:szCs w:val="22"/>
        </w:rPr>
        <w:t xml:space="preserve"> views on the set of policy considerations outlined below.</w:t>
      </w:r>
    </w:p>
    <w:p w14:paraId="06E54FC2" w14:textId="204566A0" w:rsidR="005949EA" w:rsidRDefault="009C308E" w:rsidP="00157DFC">
      <w:pPr>
        <w:pStyle w:val="Introductionparagraph"/>
        <w:rPr>
          <w:b/>
          <w:bCs/>
        </w:rPr>
      </w:pPr>
      <w:r w:rsidRPr="00BE3B72">
        <w:rPr>
          <w:noProof/>
        </w:rPr>
        <mc:AlternateContent>
          <mc:Choice Requires="wps">
            <w:drawing>
              <wp:anchor distT="0" distB="0" distL="114300" distR="114300" simplePos="0" relativeHeight="251657216" behindDoc="0" locked="0" layoutInCell="1" allowOverlap="1" wp14:anchorId="17B69803" wp14:editId="789E837C">
                <wp:simplePos x="0" y="0"/>
                <wp:positionH relativeFrom="margin">
                  <wp:align>left</wp:align>
                </wp:positionH>
                <wp:positionV relativeFrom="paragraph">
                  <wp:posOffset>93980</wp:posOffset>
                </wp:positionV>
                <wp:extent cx="6011545" cy="3057525"/>
                <wp:effectExtent l="95250" t="95250" r="103505" b="104775"/>
                <wp:wrapNone/>
                <wp:docPr id="67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11545" cy="3057525"/>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A5C98C8" w14:textId="7F0991EC" w:rsidR="0008037B" w:rsidRPr="00D06DC4" w:rsidRDefault="0008037B" w:rsidP="00754A10">
                            <w:pPr>
                              <w:pStyle w:val="ListParagraph"/>
                              <w:numPr>
                                <w:ilvl w:val="0"/>
                                <w:numId w:val="11"/>
                              </w:numPr>
                              <w:spacing w:after="240"/>
                              <w:ind w:left="714" w:hanging="357"/>
                              <w:rPr>
                                <w:b/>
                                <w:color w:val="002060"/>
                                <w:sz w:val="32"/>
                                <w:szCs w:val="24"/>
                              </w:rPr>
                            </w:pPr>
                            <w:r>
                              <w:rPr>
                                <w:b/>
                                <w:color w:val="002060"/>
                                <w:sz w:val="28"/>
                              </w:rPr>
                              <w:t>Roll-over relief should be understood in the context of the equity that CGT provides to the tax system.</w:t>
                            </w:r>
                          </w:p>
                          <w:p w14:paraId="3AEA02FB" w14:textId="4BDA5D30" w:rsidR="0008037B" w:rsidRDefault="0008037B" w:rsidP="009B2FDE">
                            <w:pPr>
                              <w:pStyle w:val="ListParagraph"/>
                              <w:spacing w:after="120"/>
                            </w:pPr>
                            <w:r>
                              <w:rPr>
                                <w:szCs w:val="24"/>
                              </w:rPr>
                              <w:t>CGT</w:t>
                            </w:r>
                            <w:r>
                              <w:t xml:space="preserve"> provides better equity between taxpayers earning conventional income (such as salary and wages) and those making capital gains (such as gains on investment assets). It applies a principle that taxpayers in the same financial situation should face similar tax outcomes (horizontal equity). It is particularly important in promoting the progressivity of the tax system as the distribution of ownership of capital is skewed in favour of higher income groups and the gains represent a significant share of their economic position. </w:t>
                            </w:r>
                          </w:p>
                          <w:p w14:paraId="3E811A65" w14:textId="77777777" w:rsidR="0008037B" w:rsidRDefault="0008037B" w:rsidP="009B2FDE">
                            <w:pPr>
                              <w:pStyle w:val="ListParagraph"/>
                              <w:spacing w:after="120"/>
                              <w:rPr>
                                <w:sz w:val="24"/>
                                <w:szCs w:val="24"/>
                              </w:rPr>
                            </w:pPr>
                            <w:r>
                              <w:t>CGT also tackles the tax avoidance strategy of converting or re-characterising income as capital gains, a widespread practice prior to the introduction of CGT.</w:t>
                            </w:r>
                          </w:p>
                          <w:p w14:paraId="752D442C" w14:textId="78AE3BB4" w:rsidR="0008037B" w:rsidRPr="001D46C4" w:rsidRDefault="0008037B" w:rsidP="009B2FDE">
                            <w:pPr>
                              <w:pStyle w:val="ListParagraph"/>
                              <w:spacing w:after="120"/>
                              <w:rPr>
                                <w:szCs w:val="24"/>
                              </w:rPr>
                            </w:pPr>
                            <w:r>
                              <w:rPr>
                                <w:szCs w:val="24"/>
                              </w:rPr>
                              <w:t xml:space="preserve">In some circumstances, roll-over relief can be counter to fairness in that the deferral of the taxing point is not an available option for taxpayers, particularly lower income taxpayers, earning salary and wages. </w:t>
                            </w:r>
                          </w:p>
                          <w:p w14:paraId="581459DB" w14:textId="77777777" w:rsidR="0008037B" w:rsidRDefault="0008037B"/>
                        </w:txbxContent>
                      </wps:txbx>
                      <wps:bodyPr rot="0" vert="horz" wrap="square" lIns="0" tIns="0" rIns="226800" bIns="0" anchor="ctr" anchorCtr="0">
                        <a:noAutofit/>
                      </wps:bodyPr>
                    </wps:wsp>
                  </a:graphicData>
                </a:graphic>
                <wp14:sizeRelV relativeFrom="margin">
                  <wp14:pctHeight>0</wp14:pctHeight>
                </wp14:sizeRelV>
              </wp:anchor>
            </w:drawing>
          </mc:Choice>
          <mc:Fallback>
            <w:pict>
              <v:rect w14:anchorId="17B69803" id="_x0000_s1026" style="position:absolute;margin-left:0;margin-top:7.4pt;width:473.35pt;height:240.75pt;flip:x;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" fillcolor="white [3212]" stroked="f" strokeweight="1.5pt">
                <v:shadow on="t" type="perspective" color="black" opacity="26214f" offset="0,0" matrix="66191f,,,66191f"/>
                <v:textbox inset="0,0,6.3mm,0">
                  <w:txbxContent>
                    <w:p w14:paraId="6A5C98C8" w14:textId="7F0991EC" w:rsidR="0008037B" w:rsidRPr="00D06DC4" w:rsidRDefault="0008037B" w:rsidP="00754A10">
                      <w:pPr>
                        <w:pStyle w:val="ListParagraph"/>
                        <w:numPr>
                          <w:ilvl w:val="0"/>
                          <w:numId w:val="11"/>
                        </w:numPr>
                        <w:spacing w:after="240"/>
                        <w:ind w:left="714" w:hanging="357"/>
                        <w:rPr>
                          <w:b/>
                          <w:color w:val="002060"/>
                          <w:sz w:val="32"/>
                          <w:szCs w:val="24"/>
                        </w:rPr>
                      </w:pPr>
                      <w:r>
                        <w:rPr>
                          <w:b/>
                          <w:color w:val="002060"/>
                          <w:sz w:val="28"/>
                        </w:rPr>
                        <w:t>Roll-over relief should be understood in the context of the equity that CGT provides to the tax system.</w:t>
                      </w:r>
                    </w:p>
                    <w:p w14:paraId="3AEA02FB" w14:textId="4BDA5D30" w:rsidR="0008037B" w:rsidRDefault="0008037B" w:rsidP="009B2FDE">
                      <w:pPr>
                        <w:pStyle w:val="ListParagraph"/>
                        <w:spacing w:after="120"/>
                      </w:pPr>
                      <w:r>
                        <w:rPr>
                          <w:szCs w:val="24"/>
                        </w:rPr>
                        <w:t>CGT</w:t>
                      </w:r>
                      <w:r>
                        <w:t xml:space="preserve"> provides better equity between taxpayers earning conventional income (such as salary and wages) and those making capital gains (such as gains on investment assets). It applies a principle that taxpayers in the same financial situation should face similar tax outcomes (horizontal equity). It is particularly important in promoting the progressivity of the tax system as the distribution of ownership of capital is skewed in favour of higher income groups and the gains represent a significant share of their economic position. </w:t>
                      </w:r>
                    </w:p>
                    <w:p w14:paraId="3E811A65" w14:textId="77777777" w:rsidR="0008037B" w:rsidRDefault="0008037B" w:rsidP="009B2FDE">
                      <w:pPr>
                        <w:pStyle w:val="ListParagraph"/>
                        <w:spacing w:after="120"/>
                        <w:rPr>
                          <w:sz w:val="24"/>
                          <w:szCs w:val="24"/>
                        </w:rPr>
                      </w:pPr>
                      <w:r>
                        <w:t>CGT also tackles the tax avoidance strategy of converting or re-characterising income as capital gains, a widespread practice prior to the introduction of CGT.</w:t>
                      </w:r>
                    </w:p>
                    <w:p w14:paraId="752D442C" w14:textId="78AE3BB4" w:rsidR="0008037B" w:rsidRPr="001D46C4" w:rsidRDefault="0008037B" w:rsidP="009B2FDE">
                      <w:pPr>
                        <w:pStyle w:val="ListParagraph"/>
                        <w:spacing w:after="120"/>
                        <w:rPr>
                          <w:szCs w:val="24"/>
                        </w:rPr>
                      </w:pPr>
                      <w:r>
                        <w:rPr>
                          <w:szCs w:val="24"/>
                        </w:rPr>
                        <w:t xml:space="preserve">In some circumstances, roll-over relief can be counter to fairness in that the deferral of the taxing point is not an available option for taxpayers, particularly lower income taxpayers, earning salary and wages. </w:t>
                      </w:r>
                    </w:p>
                    <w:p w14:paraId="581459DB" w14:textId="77777777" w:rsidR="0008037B" w:rsidRDefault="0008037B"/>
                  </w:txbxContent>
                </v:textbox>
                <w10:wrap anchorx="margin"/>
              </v:rect>
            </w:pict>
          </mc:Fallback>
        </mc:AlternateContent>
      </w:r>
    </w:p>
    <w:p w14:paraId="6E246D2B" w14:textId="1CA778D5" w:rsidR="005949EA" w:rsidRDefault="005949EA" w:rsidP="00157DFC">
      <w:pPr>
        <w:pStyle w:val="Introductionparagraph"/>
        <w:rPr>
          <w:b/>
          <w:bCs/>
        </w:rPr>
      </w:pPr>
    </w:p>
    <w:p w14:paraId="3681FAC1" w14:textId="57BE3BC1" w:rsidR="009C308E" w:rsidRDefault="009C308E" w:rsidP="00320BB4">
      <w:pPr>
        <w:pStyle w:val="Introductionparagraph"/>
        <w:rPr>
          <w:color w:val="auto"/>
          <w:sz w:val="22"/>
          <w:szCs w:val="22"/>
        </w:rPr>
      </w:pPr>
      <w:r w:rsidRPr="00BE3B72">
        <w:rPr>
          <w:b/>
          <w:bCs/>
          <w:noProof/>
        </w:rPr>
        <mc:AlternateContent>
          <mc:Choice Requires="wps">
            <w:drawing>
              <wp:anchor distT="0" distB="0" distL="114300" distR="114300" simplePos="0" relativeHeight="251661312" behindDoc="0" locked="0" layoutInCell="1" allowOverlap="1" wp14:anchorId="16CC98F7" wp14:editId="420ED385">
                <wp:simplePos x="0" y="0"/>
                <wp:positionH relativeFrom="margin">
                  <wp:align>left</wp:align>
                </wp:positionH>
                <wp:positionV relativeFrom="paragraph">
                  <wp:posOffset>2612390</wp:posOffset>
                </wp:positionV>
                <wp:extent cx="6011545" cy="2171700"/>
                <wp:effectExtent l="95250" t="76200" r="103505" b="76200"/>
                <wp:wrapSquare wrapText="bothSides"/>
                <wp:docPr id="698"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6011545" cy="2171700"/>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08364388" w14:textId="77777777" w:rsidR="0008037B" w:rsidRPr="00D06DC4" w:rsidRDefault="0008037B" w:rsidP="009C308E">
                            <w:pPr>
                              <w:pStyle w:val="ListParagraph"/>
                              <w:numPr>
                                <w:ilvl w:val="0"/>
                                <w:numId w:val="11"/>
                              </w:numPr>
                              <w:spacing w:after="240"/>
                              <w:ind w:left="714" w:hanging="357"/>
                              <w:rPr>
                                <w:b/>
                                <w:color w:val="002060"/>
                                <w:sz w:val="32"/>
                                <w:szCs w:val="24"/>
                              </w:rPr>
                            </w:pPr>
                            <w:r>
                              <w:rPr>
                                <w:b/>
                                <w:color w:val="002060"/>
                                <w:sz w:val="28"/>
                              </w:rPr>
                              <w:t xml:space="preserve">Roll-over relief should take into account the economic efficiency aims of CGT. </w:t>
                            </w:r>
                          </w:p>
                          <w:p w14:paraId="24C95DCC" w14:textId="77777777" w:rsidR="0008037B" w:rsidRDefault="0008037B" w:rsidP="009C308E">
                            <w:pPr>
                              <w:pStyle w:val="ListParagraph"/>
                              <w:spacing w:after="120"/>
                            </w:pPr>
                            <w:r>
                              <w:t>Another policy rationale for introducing CGT was to improve economic efficiency. The absence of a tax on capital gains was viewed as a distorting influence on capital investment decisions as investors chose less productive projects yielding returns in the form of tax-free capital gains.</w:t>
                            </w:r>
                          </w:p>
                          <w:p w14:paraId="5C202716" w14:textId="77777777" w:rsidR="0008037B" w:rsidRPr="00251D9E" w:rsidRDefault="0008037B" w:rsidP="009C308E">
                            <w:pPr>
                              <w:pStyle w:val="ListParagraph"/>
                              <w:spacing w:after="120"/>
                              <w:rPr>
                                <w:szCs w:val="24"/>
                              </w:rPr>
                            </w:pPr>
                            <w:r>
                              <w:rPr>
                                <w:szCs w:val="24"/>
                              </w:rPr>
                              <w:t>Proposed roll-over treatment should take proper account of the distortive effects on the efficient allocation of capital of deferring a tax charge</w:t>
                            </w:r>
                            <w:r w:rsidRPr="00D1466F">
                              <w:rPr>
                                <w:szCs w:val="24"/>
                              </w:rPr>
                              <w:t xml:space="preserve"> </w:t>
                            </w:r>
                            <w:r>
                              <w:rPr>
                                <w:szCs w:val="24"/>
                              </w:rPr>
                              <w:t xml:space="preserve">further. </w:t>
                            </w:r>
                          </w:p>
                          <w:p w14:paraId="588857E0" w14:textId="77777777" w:rsidR="0008037B" w:rsidRDefault="0008037B" w:rsidP="009C308E">
                            <w:pPr>
                              <w:pStyle w:val="ListParagraph"/>
                              <w:spacing w:after="120"/>
                              <w:rPr>
                                <w:sz w:val="24"/>
                                <w:szCs w:val="24"/>
                              </w:rPr>
                            </w:pPr>
                          </w:p>
                          <w:p w14:paraId="01A000E6" w14:textId="77777777" w:rsidR="0008037B" w:rsidRDefault="0008037B" w:rsidP="009C308E">
                            <w:pPr>
                              <w:pStyle w:val="ListParagraph"/>
                              <w:spacing w:after="120"/>
                              <w:rPr>
                                <w:sz w:val="24"/>
                                <w:szCs w:val="24"/>
                              </w:rPr>
                            </w:pPr>
                          </w:p>
                          <w:p w14:paraId="724F26D5" w14:textId="77777777" w:rsidR="0008037B" w:rsidRDefault="0008037B" w:rsidP="009C308E">
                            <w:pPr>
                              <w:pStyle w:val="ListParagraph"/>
                              <w:spacing w:after="120"/>
                              <w:rPr>
                                <w:sz w:val="24"/>
                                <w:szCs w:val="24"/>
                              </w:rPr>
                            </w:pPr>
                          </w:p>
                          <w:p w14:paraId="6191AAD2" w14:textId="77777777" w:rsidR="0008037B" w:rsidRDefault="0008037B" w:rsidP="009C308E">
                            <w:pPr>
                              <w:pStyle w:val="ListParagraph"/>
                              <w:spacing w:after="120"/>
                              <w:rPr>
                                <w:sz w:val="24"/>
                                <w:szCs w:val="24"/>
                              </w:rPr>
                            </w:pPr>
                          </w:p>
                          <w:p w14:paraId="2C531FD2" w14:textId="77777777" w:rsidR="0008037B" w:rsidRDefault="0008037B" w:rsidP="009C308E">
                            <w:pPr>
                              <w:pStyle w:val="ListParagraph"/>
                              <w:spacing w:after="120"/>
                              <w:rPr>
                                <w:sz w:val="24"/>
                                <w:szCs w:val="24"/>
                              </w:rPr>
                            </w:pPr>
                          </w:p>
                          <w:p w14:paraId="0BF8737D" w14:textId="77777777" w:rsidR="0008037B" w:rsidRDefault="0008037B" w:rsidP="009C308E">
                            <w:pPr>
                              <w:pStyle w:val="ListParagraph"/>
                              <w:spacing w:after="120"/>
                              <w:rPr>
                                <w:sz w:val="24"/>
                                <w:szCs w:val="24"/>
                              </w:rPr>
                            </w:pPr>
                          </w:p>
                          <w:p w14:paraId="55733EBA" w14:textId="77777777" w:rsidR="0008037B" w:rsidRDefault="0008037B" w:rsidP="009C308E">
                            <w:pPr>
                              <w:pStyle w:val="ListParagraph"/>
                              <w:spacing w:after="120"/>
                              <w:rPr>
                                <w:sz w:val="24"/>
                                <w:szCs w:val="24"/>
                              </w:rPr>
                            </w:pPr>
                          </w:p>
                          <w:p w14:paraId="413A47E0" w14:textId="77777777" w:rsidR="0008037B" w:rsidRPr="00D06DC4" w:rsidRDefault="0008037B" w:rsidP="009C308E">
                            <w:pPr>
                              <w:pStyle w:val="ListParagraph"/>
                              <w:spacing w:after="120"/>
                              <w:rPr>
                                <w:b/>
                                <w:sz w:val="24"/>
                                <w:szCs w:val="24"/>
                              </w:rPr>
                            </w:pPr>
                            <w:r>
                              <w:rPr>
                                <w:sz w:val="24"/>
                                <w:szCs w:val="24"/>
                              </w:rPr>
                              <w:t>.</w:t>
                            </w:r>
                          </w:p>
                        </w:txbxContent>
                      </wps:txbx>
                      <wps:bodyPr rot="0" vert="horz" wrap="square" lIns="0" tIns="0" rIns="216000" bIns="0" anchor="ctr" anchorCtr="0">
                        <a:noAutofit/>
                      </wps:bodyPr>
                    </wps:wsp>
                  </a:graphicData>
                </a:graphic>
                <wp14:sizeRelH relativeFrom="page">
                  <wp14:pctWidth>0</wp14:pctWidth>
                </wp14:sizeRelH>
                <wp14:sizeRelV relativeFrom="page">
                  <wp14:pctHeight>0</wp14:pctHeight>
                </wp14:sizeRelV>
              </wp:anchor>
            </w:drawing>
          </mc:Choice>
          <mc:Fallback>
            <w:pict>
              <v:rect w14:anchorId="16CC98F7" id="_x0000_s1027" style="position:absolute;margin-left:0;margin-top:205.7pt;width:473.35pt;height:171pt;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" fillcolor="white [3212]" stroked="f" strokeweight="1.5pt">
                <v:shadow on="t" type="perspective" color="black" opacity="26214f" offset="0,0" matrix="66191f,,,66191f"/>
                <o:lock v:ext="edit" aspectratio="t"/>
                <v:textbox inset="0,0,6mm,0">
                  <w:txbxContent>
                    <w:p w14:paraId="08364388" w14:textId="77777777" w:rsidR="0008037B" w:rsidRPr="00D06DC4" w:rsidRDefault="0008037B" w:rsidP="009C308E">
                      <w:pPr>
                        <w:pStyle w:val="ListParagraph"/>
                        <w:numPr>
                          <w:ilvl w:val="0"/>
                          <w:numId w:val="11"/>
                        </w:numPr>
                        <w:spacing w:after="240"/>
                        <w:ind w:left="714" w:hanging="357"/>
                        <w:rPr>
                          <w:b/>
                          <w:color w:val="002060"/>
                          <w:sz w:val="32"/>
                          <w:szCs w:val="24"/>
                        </w:rPr>
                      </w:pPr>
                      <w:r>
                        <w:rPr>
                          <w:b/>
                          <w:color w:val="002060"/>
                          <w:sz w:val="28"/>
                        </w:rPr>
                        <w:t xml:space="preserve">Roll-over relief should take into account the economic efficiency aims of CGT. </w:t>
                      </w:r>
                    </w:p>
                    <w:p w14:paraId="24C95DCC" w14:textId="77777777" w:rsidR="0008037B" w:rsidRDefault="0008037B" w:rsidP="009C308E">
                      <w:pPr>
                        <w:pStyle w:val="ListParagraph"/>
                        <w:spacing w:after="120"/>
                      </w:pPr>
                      <w:r>
                        <w:t>Another policy rationale for introducing CGT was to improve economic efficiency. The absence of a tax on capital gains was viewed as a distorting influence on capital investment decisions as investors chose less productive projects yielding returns in the form of tax-free capital gains.</w:t>
                      </w:r>
                    </w:p>
                    <w:p w14:paraId="5C202716" w14:textId="77777777" w:rsidR="0008037B" w:rsidRPr="00251D9E" w:rsidRDefault="0008037B" w:rsidP="009C308E">
                      <w:pPr>
                        <w:pStyle w:val="ListParagraph"/>
                        <w:spacing w:after="120"/>
                        <w:rPr>
                          <w:szCs w:val="24"/>
                        </w:rPr>
                      </w:pPr>
                      <w:r>
                        <w:rPr>
                          <w:szCs w:val="24"/>
                        </w:rPr>
                        <w:t>Proposed roll-over treatment should take proper account of the distortive effects on the efficient allocation of capital of deferring a tax charge</w:t>
                      </w:r>
                      <w:r w:rsidRPr="00D1466F">
                        <w:rPr>
                          <w:szCs w:val="24"/>
                        </w:rPr>
                        <w:t xml:space="preserve"> </w:t>
                      </w:r>
                      <w:r>
                        <w:rPr>
                          <w:szCs w:val="24"/>
                        </w:rPr>
                        <w:t xml:space="preserve">further. </w:t>
                      </w:r>
                    </w:p>
                    <w:p w14:paraId="588857E0" w14:textId="77777777" w:rsidR="0008037B" w:rsidRDefault="0008037B" w:rsidP="009C308E">
                      <w:pPr>
                        <w:pStyle w:val="ListParagraph"/>
                        <w:spacing w:after="120"/>
                        <w:rPr>
                          <w:sz w:val="24"/>
                          <w:szCs w:val="24"/>
                        </w:rPr>
                      </w:pPr>
                    </w:p>
                    <w:p w14:paraId="01A000E6" w14:textId="77777777" w:rsidR="0008037B" w:rsidRDefault="0008037B" w:rsidP="009C308E">
                      <w:pPr>
                        <w:pStyle w:val="ListParagraph"/>
                        <w:spacing w:after="120"/>
                        <w:rPr>
                          <w:sz w:val="24"/>
                          <w:szCs w:val="24"/>
                        </w:rPr>
                      </w:pPr>
                    </w:p>
                    <w:p w14:paraId="724F26D5" w14:textId="77777777" w:rsidR="0008037B" w:rsidRDefault="0008037B" w:rsidP="009C308E">
                      <w:pPr>
                        <w:pStyle w:val="ListParagraph"/>
                        <w:spacing w:after="120"/>
                        <w:rPr>
                          <w:sz w:val="24"/>
                          <w:szCs w:val="24"/>
                        </w:rPr>
                      </w:pPr>
                    </w:p>
                    <w:p w14:paraId="6191AAD2" w14:textId="77777777" w:rsidR="0008037B" w:rsidRDefault="0008037B" w:rsidP="009C308E">
                      <w:pPr>
                        <w:pStyle w:val="ListParagraph"/>
                        <w:spacing w:after="120"/>
                        <w:rPr>
                          <w:sz w:val="24"/>
                          <w:szCs w:val="24"/>
                        </w:rPr>
                      </w:pPr>
                    </w:p>
                    <w:p w14:paraId="2C531FD2" w14:textId="77777777" w:rsidR="0008037B" w:rsidRDefault="0008037B" w:rsidP="009C308E">
                      <w:pPr>
                        <w:pStyle w:val="ListParagraph"/>
                        <w:spacing w:after="120"/>
                        <w:rPr>
                          <w:sz w:val="24"/>
                          <w:szCs w:val="24"/>
                        </w:rPr>
                      </w:pPr>
                    </w:p>
                    <w:p w14:paraId="0BF8737D" w14:textId="77777777" w:rsidR="0008037B" w:rsidRDefault="0008037B" w:rsidP="009C308E">
                      <w:pPr>
                        <w:pStyle w:val="ListParagraph"/>
                        <w:spacing w:after="120"/>
                        <w:rPr>
                          <w:sz w:val="24"/>
                          <w:szCs w:val="24"/>
                        </w:rPr>
                      </w:pPr>
                    </w:p>
                    <w:p w14:paraId="55733EBA" w14:textId="77777777" w:rsidR="0008037B" w:rsidRDefault="0008037B" w:rsidP="009C308E">
                      <w:pPr>
                        <w:pStyle w:val="ListParagraph"/>
                        <w:spacing w:after="120"/>
                        <w:rPr>
                          <w:sz w:val="24"/>
                          <w:szCs w:val="24"/>
                        </w:rPr>
                      </w:pPr>
                    </w:p>
                    <w:p w14:paraId="413A47E0" w14:textId="77777777" w:rsidR="0008037B" w:rsidRPr="00D06DC4" w:rsidRDefault="0008037B" w:rsidP="009C308E">
                      <w:pPr>
                        <w:pStyle w:val="ListParagraph"/>
                        <w:spacing w:after="120"/>
                        <w:rPr>
                          <w:b/>
                          <w:sz w:val="24"/>
                          <w:szCs w:val="24"/>
                        </w:rPr>
                      </w:pPr>
                      <w:r>
                        <w:rPr>
                          <w:sz w:val="24"/>
                          <w:szCs w:val="24"/>
                        </w:rPr>
                        <w:t>.</w:t>
                      </w:r>
                    </w:p>
                  </w:txbxContent>
                </v:textbox>
                <w10:wrap type="square" anchorx="margin"/>
              </v:rect>
            </w:pict>
          </mc:Fallback>
        </mc:AlternateContent>
      </w:r>
    </w:p>
    <w:p w14:paraId="43260D47" w14:textId="0FFEA163" w:rsidR="00157DFC" w:rsidRDefault="00C73547" w:rsidP="00320BB4">
      <w:pPr>
        <w:pStyle w:val="Introductionparagraph"/>
        <w:rPr>
          <w:color w:val="auto"/>
          <w:sz w:val="22"/>
          <w:szCs w:val="22"/>
        </w:rPr>
      </w:pPr>
      <w:r>
        <w:rPr>
          <w:b/>
          <w:bCs/>
          <w:noProof/>
        </w:rPr>
        <w:lastRenderedPageBreak/>
        <mc:AlternateContent>
          <mc:Choice Requires="wps">
            <w:drawing>
              <wp:inline distT="0" distB="0" distL="0" distR="0" wp14:anchorId="6A5C989E" wp14:editId="65E0DD74">
                <wp:extent cx="6012000" cy="2305050"/>
                <wp:effectExtent l="95250" t="76200" r="103505" b="76200"/>
                <wp:docPr id="674"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6012000" cy="2305050"/>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2D648B0E" w14:textId="14A49765" w:rsidR="0008037B" w:rsidRPr="00296283" w:rsidRDefault="0008037B" w:rsidP="0082678E">
                            <w:pPr>
                              <w:pStyle w:val="ListParagraph"/>
                              <w:numPr>
                                <w:ilvl w:val="0"/>
                                <w:numId w:val="11"/>
                              </w:numPr>
                              <w:spacing w:after="240"/>
                              <w:ind w:left="714" w:hanging="357"/>
                              <w:rPr>
                                <w:b/>
                                <w:color w:val="002060"/>
                                <w:sz w:val="28"/>
                              </w:rPr>
                            </w:pPr>
                            <w:r>
                              <w:rPr>
                                <w:b/>
                                <w:color w:val="002060"/>
                                <w:sz w:val="28"/>
                              </w:rPr>
                              <w:t>Roll-over treatment can relieve the unfair aspects of involuntary CGT events.</w:t>
                            </w:r>
                          </w:p>
                          <w:p w14:paraId="25F343F8" w14:textId="50FB0043" w:rsidR="0008037B" w:rsidRDefault="0008037B" w:rsidP="009C308E">
                            <w:pPr>
                              <w:ind w:left="720"/>
                            </w:pPr>
                            <w:r>
                              <w:t xml:space="preserve">An effect of the realisation-based design of CGT is that events outside of the taxpayer’s control can still trigger a tax liability. This can be unduly harsh in circumstances such as the theft or destruction of an asset, the compulsory acquisition of an asset by government, the death of a taxpayer or marriage breakdown. </w:t>
                            </w:r>
                          </w:p>
                          <w:p w14:paraId="05376FD5" w14:textId="3C07AD9E" w:rsidR="0008037B" w:rsidRDefault="0008037B" w:rsidP="009C308E">
                            <w:pPr>
                              <w:pStyle w:val="ListParagraph"/>
                              <w:spacing w:after="120"/>
                            </w:pPr>
                            <w:r>
                              <w:t>Roll-over treatment can maintain the key equitable function of CGT by putting affected taxpayers on an equal footing with other asset owners who face a tax liability only at the time of their choosing.</w:t>
                            </w:r>
                          </w:p>
                          <w:p w14:paraId="316DB615" w14:textId="568FC2CF" w:rsidR="0008037B" w:rsidRDefault="0008037B" w:rsidP="003E28DE">
                            <w:pPr>
                              <w:ind w:left="720"/>
                            </w:pPr>
                          </w:p>
                        </w:txbxContent>
                      </wps:txbx>
                      <wps:bodyPr rot="0" vert="horz" wrap="square" lIns="0" tIns="0" rIns="226800" bIns="0" anchor="ctr" anchorCtr="0">
                        <a:noAutofit/>
                      </wps:bodyPr>
                    </wps:wsp>
                  </a:graphicData>
                </a:graphic>
              </wp:inline>
            </w:drawing>
          </mc:Choice>
          <mc:Fallback>
            <w:pict>
              <v:rect w14:anchorId="6A5C989E" id="Rectangle 396" o:spid="_x0000_s1028" style="width:473.4pt;height:181.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" fillcolor="white [3212]" stroked="f" strokeweight="1.5pt">
                <v:shadow on="t" type="perspective" color="black" opacity="26214f" offset="0,0" matrix="66191f,,,66191f"/>
                <o:lock v:ext="edit" aspectratio="t"/>
                <v:textbox inset="0,0,6.3mm,0">
                  <w:txbxContent>
                    <w:p w14:paraId="2D648B0E" w14:textId="14A49765" w:rsidR="0008037B" w:rsidRPr="00296283" w:rsidRDefault="0008037B" w:rsidP="0082678E">
                      <w:pPr>
                        <w:pStyle w:val="ListParagraph"/>
                        <w:numPr>
                          <w:ilvl w:val="0"/>
                          <w:numId w:val="11"/>
                        </w:numPr>
                        <w:spacing w:after="240"/>
                        <w:ind w:left="714" w:hanging="357"/>
                        <w:rPr>
                          <w:b/>
                          <w:color w:val="002060"/>
                          <w:sz w:val="28"/>
                        </w:rPr>
                      </w:pPr>
                      <w:r>
                        <w:rPr>
                          <w:b/>
                          <w:color w:val="002060"/>
                          <w:sz w:val="28"/>
                        </w:rPr>
                        <w:t>Roll-over treatment can relieve the unfair aspects of involuntary CGT events.</w:t>
                      </w:r>
                    </w:p>
                    <w:p w14:paraId="25F343F8" w14:textId="50FB0043" w:rsidR="0008037B" w:rsidRDefault="0008037B" w:rsidP="009C308E">
                      <w:pPr>
                        <w:ind w:left="720"/>
                      </w:pPr>
                      <w:r>
                        <w:t xml:space="preserve">An effect of the realisation-based design of CGT is that events outside of the taxpayer’s control can still trigger a tax liability. This can be unduly harsh in circumstances such as the theft or destruction of an asset, the compulsory acquisition of an asset by government, the death of a taxpayer or marriage breakdown. </w:t>
                      </w:r>
                    </w:p>
                    <w:p w14:paraId="05376FD5" w14:textId="3C07AD9E" w:rsidR="0008037B" w:rsidRDefault="0008037B" w:rsidP="009C308E">
                      <w:pPr>
                        <w:pStyle w:val="ListParagraph"/>
                        <w:spacing w:after="120"/>
                      </w:pPr>
                      <w:r>
                        <w:t>Roll-over treatment can maintain the key equitable function of CGT by putting affected taxpayers on an equal footing with other asset owners who face a tax liability only at the time of their choosing.</w:t>
                      </w:r>
                    </w:p>
                    <w:p w14:paraId="316DB615" w14:textId="568FC2CF" w:rsidR="0008037B" w:rsidRDefault="0008037B" w:rsidP="003E28DE">
                      <w:pPr>
                        <w:ind w:left="720"/>
                      </w:pPr>
                    </w:p>
                  </w:txbxContent>
                </v:textbox>
                <w10:anchorlock/>
              </v:rect>
            </w:pict>
          </mc:Fallback>
        </mc:AlternateContent>
      </w:r>
      <w:r>
        <w:rPr>
          <w:noProof/>
        </w:rPr>
        <mc:AlternateContent>
          <mc:Choice Requires="wps">
            <w:drawing>
              <wp:inline distT="0" distB="0" distL="0" distR="0" wp14:anchorId="6A5C98A0" wp14:editId="62F1B5C7">
                <wp:extent cx="6012000" cy="3162300"/>
                <wp:effectExtent l="95250" t="95250" r="103505" b="95250"/>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12000" cy="3162300"/>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4B1A7EAD" w14:textId="072889DE" w:rsidR="0008037B" w:rsidRPr="00D06DC4" w:rsidRDefault="0008037B" w:rsidP="0082678E">
                            <w:pPr>
                              <w:pStyle w:val="ListParagraph"/>
                              <w:numPr>
                                <w:ilvl w:val="0"/>
                                <w:numId w:val="11"/>
                              </w:numPr>
                              <w:spacing w:after="240"/>
                              <w:ind w:left="714" w:hanging="357"/>
                              <w:rPr>
                                <w:b/>
                                <w:color w:val="002060"/>
                                <w:sz w:val="32"/>
                                <w:szCs w:val="24"/>
                              </w:rPr>
                            </w:pPr>
                            <w:r>
                              <w:rPr>
                                <w:b/>
                                <w:color w:val="002060"/>
                                <w:sz w:val="28"/>
                              </w:rPr>
                              <w:t xml:space="preserve">Roll-over treatment can reduce the effects of ‘asset lock-in’. </w:t>
                            </w:r>
                          </w:p>
                          <w:p w14:paraId="66C3F53C" w14:textId="0653F144" w:rsidR="0008037B" w:rsidRDefault="0008037B" w:rsidP="009C308E">
                            <w:pPr>
                              <w:pStyle w:val="ListParagraph"/>
                              <w:spacing w:after="120"/>
                              <w:ind w:left="714"/>
                            </w:pPr>
                            <w:r>
                              <w:t xml:space="preserve">The realisation-based approach to CGT can distort decisions to sell assets and unlock capital for productive investments that, tax considerations aside, would be chosen. Referred to as the ‘lock-in effect’, it encourages taxpayers to hold onto assets with embedded gains to avoid a tax charge. Its impact is particularly amplified in circumstances where business owners wish to restructure the ownership of business assets for commercial reasons (for example, a sole trader wishing to incorporate) or where businesses wish to sell assets to reinvest in productivity-enhancing replacement assets. </w:t>
                            </w:r>
                          </w:p>
                          <w:p w14:paraId="43852153" w14:textId="6C160E11" w:rsidR="0008037B" w:rsidRDefault="0008037B" w:rsidP="009C308E">
                            <w:pPr>
                              <w:ind w:left="720"/>
                            </w:pPr>
                            <w:r>
                              <w:t xml:space="preserve">Roll-over treatment can reduce the lock-in bias (at least for the initial realisation event) and release taxpayers from being trapped in an unsuitable or inefficient structure. It can also encourage desirable business behaviour by removing an impediment to the reallocation of capital to more productive uses. Historically, roll-over has been granted for these circumstances only when there is no (or very minimal) change in the underlying ownership of assets, consistent with the equity objectives of CGT. </w:t>
                            </w:r>
                          </w:p>
                          <w:p w14:paraId="66B437AE" w14:textId="77777777" w:rsidR="0008037B" w:rsidRPr="00560FB7" w:rsidRDefault="0008037B" w:rsidP="00E22188">
                            <w:pPr>
                              <w:pStyle w:val="ListParagraph"/>
                              <w:spacing w:after="240"/>
                              <w:ind w:left="714"/>
                              <w:rPr>
                                <w:b/>
                                <w:color w:val="002060"/>
                                <w:sz w:val="32"/>
                                <w:szCs w:val="24"/>
                              </w:rPr>
                            </w:pPr>
                          </w:p>
                          <w:p w14:paraId="2121AFF7" w14:textId="77777777" w:rsidR="0008037B" w:rsidRPr="0039423E" w:rsidRDefault="0008037B" w:rsidP="0039423E">
                            <w:pPr>
                              <w:rPr>
                                <w:sz w:val="24"/>
                                <w:szCs w:val="24"/>
                              </w:rPr>
                            </w:pPr>
                          </w:p>
                          <w:p w14:paraId="65860719" w14:textId="77777777" w:rsidR="0008037B" w:rsidRDefault="0008037B">
                            <w:pPr>
                              <w:pStyle w:val="ListParagraph"/>
                              <w:spacing w:after="120"/>
                              <w:rPr>
                                <w:sz w:val="24"/>
                                <w:szCs w:val="24"/>
                              </w:rPr>
                            </w:pPr>
                          </w:p>
                          <w:p w14:paraId="17ADD1B2" w14:textId="77777777" w:rsidR="0008037B" w:rsidRDefault="0008037B">
                            <w:pPr>
                              <w:pStyle w:val="ListParagraph"/>
                              <w:spacing w:after="120"/>
                              <w:rPr>
                                <w:sz w:val="24"/>
                                <w:szCs w:val="24"/>
                              </w:rPr>
                            </w:pPr>
                          </w:p>
                          <w:p w14:paraId="6F8C085A" w14:textId="77777777" w:rsidR="0008037B" w:rsidRDefault="0008037B">
                            <w:pPr>
                              <w:pStyle w:val="ListParagraph"/>
                              <w:spacing w:after="120"/>
                              <w:rPr>
                                <w:sz w:val="24"/>
                                <w:szCs w:val="24"/>
                              </w:rPr>
                            </w:pPr>
                          </w:p>
                          <w:p w14:paraId="6A5C98D9" w14:textId="77777777" w:rsidR="0008037B" w:rsidRPr="00296283" w:rsidRDefault="0008037B" w:rsidP="00296283">
                            <w:pPr>
                              <w:rPr>
                                <w:sz w:val="24"/>
                                <w:szCs w:val="24"/>
                              </w:rPr>
                            </w:pPr>
                          </w:p>
                        </w:txbxContent>
                      </wps:txbx>
                      <wps:bodyPr rot="0" vert="horz" wrap="square" lIns="0" tIns="0" rIns="226800" bIns="0" anchor="ctr" anchorCtr="0">
                        <a:noAutofit/>
                      </wps:bodyPr>
                    </wps:wsp>
                  </a:graphicData>
                </a:graphic>
              </wp:inline>
            </w:drawing>
          </mc:Choice>
          <mc:Fallback>
            <w:pict>
              <v:rect w14:anchorId="6A5C98A0" id="_x0000_s1029" style="width:473.4pt;height:249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" fillcolor="white [3212]" stroked="f" strokeweight="1.5pt">
                <v:shadow on="t" type="perspective" color="black" opacity="26214f" offset="0,0" matrix="66191f,,,66191f"/>
                <v:textbox inset="0,0,6.3mm,0">
                  <w:txbxContent>
                    <w:p w14:paraId="4B1A7EAD" w14:textId="072889DE" w:rsidR="0008037B" w:rsidRPr="00D06DC4" w:rsidRDefault="0008037B" w:rsidP="0082678E">
                      <w:pPr>
                        <w:pStyle w:val="ListParagraph"/>
                        <w:numPr>
                          <w:ilvl w:val="0"/>
                          <w:numId w:val="11"/>
                        </w:numPr>
                        <w:spacing w:after="240"/>
                        <w:ind w:left="714" w:hanging="357"/>
                        <w:rPr>
                          <w:b/>
                          <w:color w:val="002060"/>
                          <w:sz w:val="32"/>
                          <w:szCs w:val="24"/>
                        </w:rPr>
                      </w:pPr>
                      <w:r>
                        <w:rPr>
                          <w:b/>
                          <w:color w:val="002060"/>
                          <w:sz w:val="28"/>
                        </w:rPr>
                        <w:t xml:space="preserve">Roll-over treatment can reduce the effects of ‘asset lock-in’. </w:t>
                      </w:r>
                    </w:p>
                    <w:p w14:paraId="66C3F53C" w14:textId="0653F144" w:rsidR="0008037B" w:rsidRDefault="0008037B" w:rsidP="009C308E">
                      <w:pPr>
                        <w:pStyle w:val="ListParagraph"/>
                        <w:spacing w:after="120"/>
                        <w:ind w:left="714"/>
                      </w:pPr>
                      <w:r>
                        <w:t xml:space="preserve">The realisation-based approach to CGT can distort decisions to sell assets and unlock capital for productive investments that, tax considerations aside, would be chosen. Referred to as the ‘lock-in effect’, it encourages taxpayers to hold onto assets with embedded gains to avoid a tax charge. Its impact is particularly amplified in circumstances where business owners wish to restructure the ownership of business assets for commercial reasons (for example, a sole trader wishing to incorporate) or where businesses wish to sell assets to reinvest in productivity-enhancing replacement assets. </w:t>
                      </w:r>
                    </w:p>
                    <w:p w14:paraId="43852153" w14:textId="6C160E11" w:rsidR="0008037B" w:rsidRDefault="0008037B" w:rsidP="009C308E">
                      <w:pPr>
                        <w:ind w:left="720"/>
                      </w:pPr>
                      <w:r>
                        <w:t xml:space="preserve">Roll-over treatment can reduce the lock-in bias (at least for the initial realisation event) and release taxpayers from being trapped in an unsuitable or inefficient structure. It can also encourage desirable business behaviour by removing an impediment to the reallocation of capital to more productive uses. Historically, roll-over has been granted for these circumstances only when there is no (or very minimal) change in the underlying ownership of assets, consistent with the equity objectives of CGT. </w:t>
                      </w:r>
                    </w:p>
                    <w:p w14:paraId="66B437AE" w14:textId="77777777" w:rsidR="0008037B" w:rsidRPr="00560FB7" w:rsidRDefault="0008037B" w:rsidP="00E22188">
                      <w:pPr>
                        <w:pStyle w:val="ListParagraph"/>
                        <w:spacing w:after="240"/>
                        <w:ind w:left="714"/>
                        <w:rPr>
                          <w:b/>
                          <w:color w:val="002060"/>
                          <w:sz w:val="32"/>
                          <w:szCs w:val="24"/>
                        </w:rPr>
                      </w:pPr>
                    </w:p>
                    <w:p w14:paraId="2121AFF7" w14:textId="77777777" w:rsidR="0008037B" w:rsidRPr="0039423E" w:rsidRDefault="0008037B" w:rsidP="0039423E">
                      <w:pPr>
                        <w:rPr>
                          <w:sz w:val="24"/>
                          <w:szCs w:val="24"/>
                        </w:rPr>
                      </w:pPr>
                    </w:p>
                    <w:p w14:paraId="65860719" w14:textId="77777777" w:rsidR="0008037B" w:rsidRDefault="0008037B">
                      <w:pPr>
                        <w:pStyle w:val="ListParagraph"/>
                        <w:spacing w:after="120"/>
                        <w:rPr>
                          <w:sz w:val="24"/>
                          <w:szCs w:val="24"/>
                        </w:rPr>
                      </w:pPr>
                    </w:p>
                    <w:p w14:paraId="17ADD1B2" w14:textId="77777777" w:rsidR="0008037B" w:rsidRDefault="0008037B">
                      <w:pPr>
                        <w:pStyle w:val="ListParagraph"/>
                        <w:spacing w:after="120"/>
                        <w:rPr>
                          <w:sz w:val="24"/>
                          <w:szCs w:val="24"/>
                        </w:rPr>
                      </w:pPr>
                    </w:p>
                    <w:p w14:paraId="6F8C085A" w14:textId="77777777" w:rsidR="0008037B" w:rsidRDefault="0008037B">
                      <w:pPr>
                        <w:pStyle w:val="ListParagraph"/>
                        <w:spacing w:after="120"/>
                        <w:rPr>
                          <w:sz w:val="24"/>
                          <w:szCs w:val="24"/>
                        </w:rPr>
                      </w:pPr>
                    </w:p>
                    <w:p w14:paraId="6A5C98D9" w14:textId="77777777" w:rsidR="0008037B" w:rsidRPr="00296283" w:rsidRDefault="0008037B" w:rsidP="00296283">
                      <w:pPr>
                        <w:rPr>
                          <w:sz w:val="24"/>
                          <w:szCs w:val="24"/>
                        </w:rPr>
                      </w:pPr>
                    </w:p>
                  </w:txbxContent>
                </v:textbox>
                <w10:anchorlock/>
              </v:rect>
            </w:pict>
          </mc:Fallback>
        </mc:AlternateContent>
      </w:r>
      <w:r w:rsidR="00CF22DB">
        <w:rPr>
          <w:noProof/>
        </w:rPr>
        <w:lastRenderedPageBreak/>
        <mc:AlternateContent>
          <mc:Choice Requires="wps">
            <w:drawing>
              <wp:inline distT="0" distB="0" distL="0" distR="0" wp14:anchorId="3C772FA4" wp14:editId="7C65F832">
                <wp:extent cx="6012000" cy="3571875"/>
                <wp:effectExtent l="95250" t="95250" r="103505" b="104775"/>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12000" cy="3571875"/>
                        </a:xfrm>
                        <a:prstGeom prst="rect">
                          <a:avLst/>
                        </a:prstGeom>
                        <a:solidFill>
                          <a:schemeClr val="bg1"/>
                        </a:solidFill>
                        <a:ln w="19050">
                          <a:noFill/>
                          <a:miter lim="800000"/>
                          <a:headEnd/>
                          <a:tailEnd/>
                        </a:ln>
                        <a:effectLst>
                          <a:outerShdw blurRad="63500" sx="101000" sy="101000" algn="ctr" rotWithShape="0">
                            <a:prstClr val="black">
                              <a:alpha val="40000"/>
                            </a:prstClr>
                          </a:outerShdw>
                        </a:effectLst>
                      </wps:spPr>
                      <wps:txbx>
                        <w:txbxContent>
                          <w:p w14:paraId="640C96DF" w14:textId="0BDE71D2" w:rsidR="0008037B" w:rsidRPr="00E22188" w:rsidRDefault="0008037B" w:rsidP="0082678E">
                            <w:pPr>
                              <w:pStyle w:val="ListParagraph"/>
                              <w:numPr>
                                <w:ilvl w:val="0"/>
                                <w:numId w:val="11"/>
                              </w:numPr>
                              <w:spacing w:after="240"/>
                              <w:ind w:left="714" w:hanging="357"/>
                              <w:rPr>
                                <w:b/>
                                <w:color w:val="002060"/>
                                <w:sz w:val="32"/>
                                <w:szCs w:val="24"/>
                              </w:rPr>
                            </w:pPr>
                            <w:r>
                              <w:rPr>
                                <w:b/>
                                <w:color w:val="002060"/>
                                <w:sz w:val="28"/>
                              </w:rPr>
                              <w:t xml:space="preserve">Roll-over relief should be as simple as possible to promote compliance. </w:t>
                            </w:r>
                          </w:p>
                          <w:p w14:paraId="1F0B1523" w14:textId="6B449D34" w:rsidR="0008037B" w:rsidRDefault="0008037B" w:rsidP="00DD2EE1">
                            <w:pPr>
                              <w:pStyle w:val="ListParagraph"/>
                              <w:ind w:left="714"/>
                            </w:pPr>
                            <w:r>
                              <w:t>Roll-overs involve a number of compliance challenges resulting from complexity. The first involves ensuring that the conditions for roll-over are satisfied. Some roll-over conditions may be technical, ‘black letter’ requirements, others are less prescriptive and require professional judgement, such as determining the purpose of an arrangement. The number of roll-overs with different conditions in our system makes navigating the law difficult and often requires costly, specialist advice.</w:t>
                            </w:r>
                          </w:p>
                          <w:p w14:paraId="1495CBAA" w14:textId="18740CDB" w:rsidR="0008037B" w:rsidRDefault="0008037B" w:rsidP="00DD2EE1">
                            <w:pPr>
                              <w:pStyle w:val="ListParagraph"/>
                              <w:spacing w:before="120" w:after="120"/>
                              <w:ind w:left="714"/>
                            </w:pPr>
                            <w:r>
                              <w:t>The second compliance challenge involves accurately accounting for the consequences of roll-over, such as determining the cost base and acquisition date of relevant assets. This can involve assets such as shares or units (membership interests) in entities that have undertaken roll-over. Compliance is particularly onerous when multiple business reorganisation roll-overs are undertaken and/or where the entity is held by tens or hundreds of thousands of retail ‘mum and dad’ investors, who must keep track of multiple cost base adjustments for their membership interests.</w:t>
                            </w:r>
                          </w:p>
                          <w:p w14:paraId="1CC22AB7" w14:textId="147FB8C6" w:rsidR="0008037B" w:rsidRPr="007A0B5E" w:rsidRDefault="0008037B" w:rsidP="00811A6A">
                            <w:pPr>
                              <w:pStyle w:val="ListParagraph"/>
                              <w:ind w:left="714"/>
                            </w:pPr>
                            <w:r>
                              <w:t>Proposed roll-over treatment should be simpler so as to promote the maximum degree of certainty possible and minimise the risks of inadvertent non-compliance.</w:t>
                            </w:r>
                          </w:p>
                          <w:p w14:paraId="5DB8D9AE" w14:textId="77777777" w:rsidR="0008037B" w:rsidRDefault="0008037B" w:rsidP="00CF22DB">
                            <w:pPr>
                              <w:pStyle w:val="ListParagraph"/>
                              <w:spacing w:after="120"/>
                              <w:rPr>
                                <w:sz w:val="24"/>
                                <w:szCs w:val="24"/>
                              </w:rPr>
                            </w:pPr>
                          </w:p>
                          <w:p w14:paraId="1783CA72" w14:textId="77777777" w:rsidR="0008037B" w:rsidRDefault="0008037B" w:rsidP="00CF22DB">
                            <w:pPr>
                              <w:pStyle w:val="ListParagraph"/>
                              <w:spacing w:after="120"/>
                              <w:rPr>
                                <w:sz w:val="24"/>
                                <w:szCs w:val="24"/>
                              </w:rPr>
                            </w:pPr>
                          </w:p>
                          <w:p w14:paraId="35FA2FE9" w14:textId="77777777" w:rsidR="0008037B" w:rsidRDefault="0008037B" w:rsidP="00CF22DB">
                            <w:pPr>
                              <w:pStyle w:val="ListParagraph"/>
                              <w:spacing w:after="120"/>
                              <w:rPr>
                                <w:sz w:val="24"/>
                                <w:szCs w:val="24"/>
                              </w:rPr>
                            </w:pPr>
                          </w:p>
                          <w:p w14:paraId="5A0CD5D5" w14:textId="77777777" w:rsidR="0008037B" w:rsidRPr="00296283" w:rsidRDefault="0008037B" w:rsidP="00CF22DB">
                            <w:pPr>
                              <w:rPr>
                                <w:sz w:val="24"/>
                                <w:szCs w:val="24"/>
                              </w:rPr>
                            </w:pPr>
                          </w:p>
                        </w:txbxContent>
                      </wps:txbx>
                      <wps:bodyPr rot="0" vert="horz" wrap="square" lIns="0" tIns="0" rIns="226800" bIns="0" anchor="ctr" anchorCtr="0">
                        <a:noAutofit/>
                      </wps:bodyPr>
                    </wps:wsp>
                  </a:graphicData>
                </a:graphic>
              </wp:inline>
            </w:drawing>
          </mc:Choice>
          <mc:Fallback>
            <w:pict>
              <v:rect w14:anchorId="3C772FA4" id="_x0000_s1030" style="width:473.4pt;height:281.2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" fillcolor="white [3212]" stroked="f" strokeweight="1.5pt">
                <v:shadow on="t" type="perspective" color="black" opacity="26214f" offset="0,0" matrix="66191f,,,66191f"/>
                <v:textbox inset="0,0,6.3mm,0">
                  <w:txbxContent>
                    <w:p w14:paraId="640C96DF" w14:textId="0BDE71D2" w:rsidR="0008037B" w:rsidRPr="00E22188" w:rsidRDefault="0008037B" w:rsidP="0082678E">
                      <w:pPr>
                        <w:pStyle w:val="ListParagraph"/>
                        <w:numPr>
                          <w:ilvl w:val="0"/>
                          <w:numId w:val="11"/>
                        </w:numPr>
                        <w:spacing w:after="240"/>
                        <w:ind w:left="714" w:hanging="357"/>
                        <w:rPr>
                          <w:b/>
                          <w:color w:val="002060"/>
                          <w:sz w:val="32"/>
                          <w:szCs w:val="24"/>
                        </w:rPr>
                      </w:pPr>
                      <w:r>
                        <w:rPr>
                          <w:b/>
                          <w:color w:val="002060"/>
                          <w:sz w:val="28"/>
                        </w:rPr>
                        <w:t xml:space="preserve">Roll-over relief should be as simple as possible to promote compliance. </w:t>
                      </w:r>
                    </w:p>
                    <w:p w14:paraId="1F0B1523" w14:textId="6B449D34" w:rsidR="0008037B" w:rsidRDefault="0008037B" w:rsidP="00DD2EE1">
                      <w:pPr>
                        <w:pStyle w:val="ListParagraph"/>
                        <w:ind w:left="714"/>
                      </w:pPr>
                      <w:r>
                        <w:t>Roll-overs involve a number of compliance challenges resulting from complexity. The first involves ensuring that the conditions for roll-over are satisfied. Some roll-over conditions may be technical, ‘black letter’ requirements, others are less prescriptive and require professional judgement, such as determining the purpose of an arrangement. The number of roll-overs with different conditions in our system makes navigating the law difficult and often requires costly, specialist advice.</w:t>
                      </w:r>
                    </w:p>
                    <w:p w14:paraId="1495CBAA" w14:textId="18740CDB" w:rsidR="0008037B" w:rsidRDefault="0008037B" w:rsidP="00DD2EE1">
                      <w:pPr>
                        <w:pStyle w:val="ListParagraph"/>
                        <w:spacing w:before="120" w:after="120"/>
                        <w:ind w:left="714"/>
                      </w:pPr>
                      <w:r>
                        <w:t>The second compliance challenge involves accurately accounting for the consequences of roll-over, such as determining the cost base and acquisition date of relevant assets. This can involve assets such as shares or units (membership interests) in entities that have undertaken roll-over. Compliance is particularly onerous when multiple business reorganisation roll-overs are undertaken and/or where the entity is held by tens or hundreds of thousands of retail ‘mum and dad’ investors, who must keep track of multiple cost base adjustments for their membership interests.</w:t>
                      </w:r>
                    </w:p>
                    <w:p w14:paraId="1CC22AB7" w14:textId="147FB8C6" w:rsidR="0008037B" w:rsidRPr="007A0B5E" w:rsidRDefault="0008037B" w:rsidP="00811A6A">
                      <w:pPr>
                        <w:pStyle w:val="ListParagraph"/>
                        <w:ind w:left="714"/>
                      </w:pPr>
                      <w:r>
                        <w:t>Proposed roll-over treatment should be simpler so as to promote the maximum degree of certainty possible and minimise the risks of inadvertent non-compliance.</w:t>
                      </w:r>
                    </w:p>
                    <w:p w14:paraId="5DB8D9AE" w14:textId="77777777" w:rsidR="0008037B" w:rsidRDefault="0008037B" w:rsidP="00CF22DB">
                      <w:pPr>
                        <w:pStyle w:val="ListParagraph"/>
                        <w:spacing w:after="120"/>
                        <w:rPr>
                          <w:sz w:val="24"/>
                          <w:szCs w:val="24"/>
                        </w:rPr>
                      </w:pPr>
                    </w:p>
                    <w:p w14:paraId="1783CA72" w14:textId="77777777" w:rsidR="0008037B" w:rsidRDefault="0008037B" w:rsidP="00CF22DB">
                      <w:pPr>
                        <w:pStyle w:val="ListParagraph"/>
                        <w:spacing w:after="120"/>
                        <w:rPr>
                          <w:sz w:val="24"/>
                          <w:szCs w:val="24"/>
                        </w:rPr>
                      </w:pPr>
                    </w:p>
                    <w:p w14:paraId="35FA2FE9" w14:textId="77777777" w:rsidR="0008037B" w:rsidRDefault="0008037B" w:rsidP="00CF22DB">
                      <w:pPr>
                        <w:pStyle w:val="ListParagraph"/>
                        <w:spacing w:after="120"/>
                        <w:rPr>
                          <w:sz w:val="24"/>
                          <w:szCs w:val="24"/>
                        </w:rPr>
                      </w:pPr>
                    </w:p>
                    <w:p w14:paraId="5A0CD5D5" w14:textId="77777777" w:rsidR="0008037B" w:rsidRPr="00296283" w:rsidRDefault="0008037B" w:rsidP="00CF22DB">
                      <w:pPr>
                        <w:rPr>
                          <w:sz w:val="24"/>
                          <w:szCs w:val="24"/>
                        </w:rPr>
                      </w:pPr>
                    </w:p>
                  </w:txbxContent>
                </v:textbox>
                <w10:anchorlock/>
              </v:rect>
            </w:pict>
          </mc:Fallback>
        </mc:AlternateContent>
      </w:r>
      <w:r w:rsidR="00616F0A">
        <w:rPr>
          <w:color w:val="auto"/>
          <w:sz w:val="22"/>
          <w:szCs w:val="22"/>
        </w:rPr>
        <w:t>It is also important to have regard to some of the structural features of the CGT landscape in evaluating our system of roll-overs, including</w:t>
      </w:r>
      <w:r w:rsidR="00157DFC">
        <w:rPr>
          <w:color w:val="auto"/>
          <w:sz w:val="22"/>
          <w:szCs w:val="22"/>
        </w:rPr>
        <w:t>:</w:t>
      </w:r>
    </w:p>
    <w:p w14:paraId="7701C4AC" w14:textId="3EFD5525" w:rsidR="00157DFC" w:rsidRDefault="00616F0A" w:rsidP="00157DFC">
      <w:pPr>
        <w:pStyle w:val="Introductionparagraph"/>
        <w:numPr>
          <w:ilvl w:val="0"/>
          <w:numId w:val="17"/>
        </w:numPr>
        <w:spacing w:after="120"/>
        <w:rPr>
          <w:color w:val="auto"/>
          <w:sz w:val="22"/>
          <w:szCs w:val="22"/>
        </w:rPr>
      </w:pPr>
      <w:r>
        <w:rPr>
          <w:color w:val="auto"/>
          <w:sz w:val="22"/>
          <w:szCs w:val="22"/>
        </w:rPr>
        <w:t>the exemption for pre-CGT assets</w:t>
      </w:r>
      <w:r w:rsidR="00157DFC">
        <w:rPr>
          <w:color w:val="auto"/>
          <w:sz w:val="22"/>
          <w:szCs w:val="22"/>
        </w:rPr>
        <w:t>,</w:t>
      </w:r>
      <w:r>
        <w:rPr>
          <w:color w:val="auto"/>
          <w:sz w:val="22"/>
          <w:szCs w:val="22"/>
        </w:rPr>
        <w:t xml:space="preserve"> and </w:t>
      </w:r>
    </w:p>
    <w:p w14:paraId="46D02DEA" w14:textId="1031CAD0" w:rsidR="00FA5E2D" w:rsidRPr="00320BB4" w:rsidRDefault="00616F0A" w:rsidP="00320BB4">
      <w:pPr>
        <w:pStyle w:val="Introductionparagraph"/>
        <w:numPr>
          <w:ilvl w:val="0"/>
          <w:numId w:val="17"/>
        </w:numPr>
        <w:spacing w:after="120"/>
        <w:rPr>
          <w:color w:val="auto"/>
          <w:sz w:val="22"/>
          <w:szCs w:val="22"/>
        </w:rPr>
      </w:pPr>
      <w:r>
        <w:rPr>
          <w:color w:val="auto"/>
          <w:sz w:val="22"/>
          <w:szCs w:val="22"/>
        </w:rPr>
        <w:t>the CGT discount</w:t>
      </w:r>
      <w:r w:rsidR="001E6777">
        <w:rPr>
          <w:color w:val="auto"/>
          <w:sz w:val="22"/>
          <w:szCs w:val="22"/>
        </w:rPr>
        <w:t xml:space="preserve"> available </w:t>
      </w:r>
      <w:r w:rsidR="00B532D5">
        <w:rPr>
          <w:color w:val="auto"/>
          <w:sz w:val="22"/>
          <w:szCs w:val="22"/>
        </w:rPr>
        <w:t>on assets held</w:t>
      </w:r>
      <w:r w:rsidR="00073AEF">
        <w:rPr>
          <w:color w:val="auto"/>
          <w:sz w:val="22"/>
          <w:szCs w:val="22"/>
        </w:rPr>
        <w:t xml:space="preserve"> for</w:t>
      </w:r>
      <w:r w:rsidR="00B532D5">
        <w:rPr>
          <w:color w:val="auto"/>
          <w:sz w:val="22"/>
          <w:szCs w:val="22"/>
        </w:rPr>
        <w:t xml:space="preserve"> longer than 12 months</w:t>
      </w:r>
      <w:r w:rsidR="00157DFC">
        <w:rPr>
          <w:color w:val="auto"/>
          <w:sz w:val="22"/>
          <w:szCs w:val="22"/>
        </w:rPr>
        <w:t>.</w:t>
      </w:r>
    </w:p>
    <w:p w14:paraId="0068B44A" w14:textId="77777777" w:rsidR="00320BB4" w:rsidRDefault="00320BB4">
      <w:pPr>
        <w:spacing w:before="0" w:after="160" w:line="259" w:lineRule="auto"/>
        <w:rPr>
          <w:rFonts w:cs="Arial"/>
          <w:color w:val="C00000"/>
          <w:kern w:val="32"/>
          <w:sz w:val="48"/>
          <w:szCs w:val="36"/>
        </w:rPr>
      </w:pPr>
      <w:r>
        <w:br w:type="page"/>
      </w:r>
    </w:p>
    <w:p w14:paraId="29C8FC0A" w14:textId="5C8549AF" w:rsidR="00754A10" w:rsidRDefault="00754A10" w:rsidP="00616F0A">
      <w:pPr>
        <w:pStyle w:val="Heading1"/>
      </w:pPr>
      <w:bookmarkStart w:id="8" w:name="_Toc31967326"/>
      <w:r>
        <w:lastRenderedPageBreak/>
        <w:t>Terms of Reference</w:t>
      </w:r>
      <w:bookmarkEnd w:id="8"/>
    </w:p>
    <w:p w14:paraId="1E79E5D9" w14:textId="0A4AB9C8" w:rsidR="00754A10" w:rsidRDefault="00754A10" w:rsidP="00754A10">
      <w:pPr>
        <w:pStyle w:val="Introductionparagraph"/>
      </w:pPr>
      <w:r>
        <w:t xml:space="preserve">The Minister for Housing and Assistant Treasurer, the Hon Michael Sukkar MP, announced the terms of reference on </w:t>
      </w:r>
      <w:r w:rsidR="009A4A35">
        <w:t xml:space="preserve">Thursday 12 December 2019. </w:t>
      </w:r>
      <w:r>
        <w:t xml:space="preserve">They set out the objectives </w:t>
      </w:r>
      <w:r w:rsidRPr="00A65719">
        <w:t xml:space="preserve">in undertaking this </w:t>
      </w:r>
      <w:r>
        <w:t>review</w:t>
      </w:r>
      <w:r w:rsidRPr="00A65719">
        <w:t>, the scope of work</w:t>
      </w:r>
      <w:r>
        <w:t>,</w:t>
      </w:r>
      <w:r w:rsidRPr="00A65719">
        <w:t xml:space="preserve"> and the timing of </w:t>
      </w:r>
      <w:r>
        <w:t>the review</w:t>
      </w:r>
      <w:r w:rsidRPr="00A65719">
        <w:t>.</w:t>
      </w:r>
    </w:p>
    <w:p w14:paraId="457383FB" w14:textId="18845B3F" w:rsidR="00754A10" w:rsidRPr="00322D13" w:rsidRDefault="00754A10" w:rsidP="00754A10">
      <w:r w:rsidRPr="00322D13">
        <w:t xml:space="preserve">The </w:t>
      </w:r>
      <w:r w:rsidR="001E6777">
        <w:t>t</w:t>
      </w:r>
      <w:r w:rsidRPr="00322D13">
        <w:t xml:space="preserve">axation </w:t>
      </w:r>
      <w:r w:rsidR="001E6777">
        <w:t>law</w:t>
      </w:r>
      <w:r w:rsidRPr="00322D13">
        <w:t xml:space="preserve"> currently allow</w:t>
      </w:r>
      <w:r w:rsidR="00B532D5">
        <w:t>s</w:t>
      </w:r>
      <w:r w:rsidRPr="00322D13">
        <w:t xml:space="preserve"> certain CGT events to occur without crystallising liabilities to tax in circumstances where it is considered appropriate for the CGT liability to be deferred until a later time (i.e. the CGT liability is ‘rolled over’).  Over time, the provisions catering for these circumstances have multiplied to the point where navigating the law is difficult.  </w:t>
      </w:r>
    </w:p>
    <w:p w14:paraId="7B9B1F54" w14:textId="5351AF69" w:rsidR="00754A10" w:rsidRPr="00322D13" w:rsidRDefault="00754A10" w:rsidP="00754A10">
      <w:r w:rsidRPr="00322D13">
        <w:t>The Board</w:t>
      </w:r>
      <w:r w:rsidR="00B532D5">
        <w:t xml:space="preserve"> of Taxation (Board)</w:t>
      </w:r>
      <w:r w:rsidRPr="00322D13">
        <w:t xml:space="preserve"> is requested to identify and evaluate opportunities to rationalise the existing CGT rollovers and associated provisions into a simplified set that have a substantially similar practical effect, but are easier to use and interpret. This may give rise to recommendations to repeal unnecessary rollovers, or express them in a more principled fashion, so that one can do the work of many. In doing so the Board should have regard to the two main categories of rollovers, namely, rollovers where there is no change in underlying economic ownership after the CGT event and rollovers where the disposal is involuntary (i.e. effectively forced upon the taxpayer at a particular time rather than occurring at a time chosen by them).</w:t>
      </w:r>
    </w:p>
    <w:p w14:paraId="090DCFFB" w14:textId="77777777" w:rsidR="00754A10" w:rsidRPr="00322D13" w:rsidRDefault="00754A10" w:rsidP="00754A10">
      <w:r w:rsidRPr="00322D13">
        <w:t>If the Board comes to the view that the system would benefit from additional categories of rollovers to complement the two key principles above, then the Board may suggest these as options for the Government to consider. In doing so, the Board should ensure that any proposals that defer capital gains tax encourage the active use of assets in the economy and, consequently, support the payment of income tax on profits generated from using those assets (for example, when compared with no change in ownership).</w:t>
      </w:r>
    </w:p>
    <w:p w14:paraId="71F08A66" w14:textId="77777777" w:rsidR="00754A10" w:rsidRPr="00322D13" w:rsidRDefault="00754A10" w:rsidP="00754A10">
      <w:r w:rsidRPr="00322D13">
        <w:t xml:space="preserve">In general, the Board’s proposed principles-based rollovers should simplify the process of giving advice on rollovers and reduce the regulatory burden on affected businesses, while: </w:t>
      </w:r>
    </w:p>
    <w:p w14:paraId="33FA706E" w14:textId="77777777" w:rsidR="00754A10" w:rsidRPr="00322D13" w:rsidRDefault="00754A10" w:rsidP="00754A10">
      <w:pPr>
        <w:pStyle w:val="ListParagraph"/>
        <w:numPr>
          <w:ilvl w:val="0"/>
          <w:numId w:val="13"/>
        </w:numPr>
        <w:jc w:val="both"/>
      </w:pPr>
      <w:r w:rsidRPr="00322D13">
        <w:t>protecting the tax system against the risk that any CGT deferral becomes permanent; and</w:t>
      </w:r>
    </w:p>
    <w:p w14:paraId="29B7EBBA" w14:textId="77777777" w:rsidR="00754A10" w:rsidRPr="00322D13" w:rsidRDefault="00754A10" w:rsidP="00754A10">
      <w:pPr>
        <w:pStyle w:val="ListParagraph"/>
        <w:numPr>
          <w:ilvl w:val="0"/>
          <w:numId w:val="13"/>
        </w:numPr>
        <w:jc w:val="both"/>
      </w:pPr>
      <w:r w:rsidRPr="00322D13">
        <w:t>having regard to the overall revenue cost of the system of rollovers and the integrity of the tax system generally.</w:t>
      </w:r>
    </w:p>
    <w:p w14:paraId="0FDB0827" w14:textId="77777777" w:rsidR="00754A10" w:rsidRPr="00322D13" w:rsidRDefault="00754A10" w:rsidP="00754A10">
      <w:r w:rsidRPr="00322D13">
        <w:t>The Board should identify the advantages and disadvantages of its proposals, any potential revenue cost, and any relevant integrity concerns. The Board should also consider the broader effects of any proposed changes outside of the CGT provisions.</w:t>
      </w:r>
    </w:p>
    <w:p w14:paraId="60D481E1" w14:textId="77777777" w:rsidR="00754A10" w:rsidRPr="003A6050" w:rsidRDefault="00754A10" w:rsidP="00754A10">
      <w:pPr>
        <w:rPr>
          <w:color w:val="C00000"/>
          <w:sz w:val="36"/>
          <w:szCs w:val="36"/>
        </w:rPr>
      </w:pPr>
      <w:r w:rsidRPr="003A6050">
        <w:rPr>
          <w:color w:val="C00000"/>
          <w:sz w:val="36"/>
          <w:szCs w:val="36"/>
        </w:rPr>
        <w:t>Timing</w:t>
      </w:r>
    </w:p>
    <w:p w14:paraId="53877A0A" w14:textId="77777777" w:rsidR="00754A10" w:rsidRDefault="00754A10" w:rsidP="00754A10">
      <w:r w:rsidRPr="004714F8">
        <w:t xml:space="preserve">The Board </w:t>
      </w:r>
      <w:r>
        <w:t>is asked to report back to the Government by 30 November 2020</w:t>
      </w:r>
      <w:r w:rsidRPr="004714F8">
        <w:t>.</w:t>
      </w:r>
    </w:p>
    <w:p w14:paraId="6A5C9845" w14:textId="77777777" w:rsidR="00B37C6C" w:rsidRDefault="00B37C6C">
      <w:pPr>
        <w:spacing w:before="0" w:after="160" w:line="259" w:lineRule="auto"/>
      </w:pPr>
      <w:r>
        <w:br w:type="page"/>
      </w:r>
    </w:p>
    <w:p w14:paraId="5F3635BA" w14:textId="77777777" w:rsidR="00754A10" w:rsidRDefault="00754A10" w:rsidP="00754A10">
      <w:pPr>
        <w:pStyle w:val="Heading1"/>
      </w:pPr>
      <w:bookmarkStart w:id="9" w:name="_Toc31967327"/>
      <w:r>
        <w:lastRenderedPageBreak/>
        <w:t>Consultation questions</w:t>
      </w:r>
      <w:bookmarkEnd w:id="9"/>
    </w:p>
    <w:p w14:paraId="3DB80A85" w14:textId="74A1FEF6" w:rsidR="00754A10" w:rsidRDefault="00754A10" w:rsidP="00754A10">
      <w:pPr>
        <w:pStyle w:val="Introductionparagraph"/>
      </w:pPr>
      <w:r w:rsidRPr="005044AB">
        <w:t>The Board encourages you to reflect on the</w:t>
      </w:r>
      <w:r w:rsidR="00D312C0">
        <w:t xml:space="preserve"> </w:t>
      </w:r>
      <w:r w:rsidRPr="005044AB">
        <w:t xml:space="preserve">consultation questions </w:t>
      </w:r>
      <w:r w:rsidR="00073AEF">
        <w:t xml:space="preserve">below </w:t>
      </w:r>
      <w:r w:rsidRPr="005044AB">
        <w:t xml:space="preserve">to assist </w:t>
      </w:r>
      <w:r w:rsidR="00D312C0">
        <w:t xml:space="preserve">in </w:t>
      </w:r>
      <w:r w:rsidRPr="005044AB">
        <w:t xml:space="preserve">formulating your input </w:t>
      </w:r>
      <w:r w:rsidR="00981A88">
        <w:t>to</w:t>
      </w:r>
      <w:r w:rsidRPr="005044AB">
        <w:t xml:space="preserve"> the review</w:t>
      </w:r>
      <w:r w:rsidR="00413D7A">
        <w:t xml:space="preserve">, having regard to the </w:t>
      </w:r>
      <w:r w:rsidR="00813F45">
        <w:t>roll-over categories</w:t>
      </w:r>
      <w:r w:rsidR="00C00440">
        <w:t xml:space="preserve"> and the </w:t>
      </w:r>
      <w:r w:rsidR="00413D7A">
        <w:t xml:space="preserve">policy considerations outlined </w:t>
      </w:r>
      <w:r w:rsidR="008F7516">
        <w:t>on pages 12 - 14</w:t>
      </w:r>
      <w:r w:rsidRPr="005044AB">
        <w:t>.</w:t>
      </w:r>
      <w:r>
        <w:t xml:space="preserve"> </w:t>
      </w:r>
      <w:r w:rsidR="002C6583">
        <w:t xml:space="preserve">You </w:t>
      </w:r>
      <w:r w:rsidR="00FF2817">
        <w:t xml:space="preserve">should not feel obliged </w:t>
      </w:r>
      <w:r w:rsidR="002C6583">
        <w:t>to address all of these questions and w</w:t>
      </w:r>
      <w:r w:rsidRPr="005044AB">
        <w:t xml:space="preserve">e encourage you to raise </w:t>
      </w:r>
      <w:r>
        <w:t xml:space="preserve">any other issues relevant to </w:t>
      </w:r>
      <w:r w:rsidR="00413D7A">
        <w:t xml:space="preserve">the </w:t>
      </w:r>
      <w:r>
        <w:t>CGT roll-over rules</w:t>
      </w:r>
      <w:r w:rsidRPr="005044AB">
        <w:t>.</w:t>
      </w:r>
    </w:p>
    <w:p w14:paraId="30C1B8C0" w14:textId="77777777" w:rsidR="008577C5" w:rsidRDefault="008577C5" w:rsidP="008577C5">
      <w:pPr>
        <w:pStyle w:val="OutlineNumbered1"/>
      </w:pPr>
      <w:r>
        <w:t>Do you agree with the policy considerations outlined in this document? Are there any other policy considerations that should be taken into account? Why?</w:t>
      </w:r>
    </w:p>
    <w:p w14:paraId="19B459AA" w14:textId="283A5D13" w:rsidR="008577C5" w:rsidRDefault="008577C5" w:rsidP="008577C5">
      <w:pPr>
        <w:pStyle w:val="OutlineNumbered1"/>
      </w:pPr>
      <w:r>
        <w:t>What framing principles would be appropriate for rationalising the three categories of roll-overs into more principles-based roll-overs?</w:t>
      </w:r>
    </w:p>
    <w:p w14:paraId="621162F0" w14:textId="4CEB286E" w:rsidR="008577C5" w:rsidRDefault="008577C5" w:rsidP="008577C5">
      <w:pPr>
        <w:pStyle w:val="OutlineNumbered1"/>
        <w:numPr>
          <w:ilvl w:val="0"/>
          <w:numId w:val="0"/>
        </w:numPr>
        <w:ind w:left="1440"/>
      </w:pPr>
      <w:r>
        <w:t>For example, does the concept of ‘involuntariness’ adequately capture the unfair circumstances in which roll-over should apply?</w:t>
      </w:r>
    </w:p>
    <w:p w14:paraId="5299E04A" w14:textId="7B921444" w:rsidR="006279D5" w:rsidRDefault="006279D5" w:rsidP="006279D5">
      <w:pPr>
        <w:pStyle w:val="OutlineNumbered1"/>
      </w:pPr>
      <w:r>
        <w:t>Are there any deficiencies and limitations in the current suite of roll-overs that can be addressed by a more principles-based approach to roll-over relief?</w:t>
      </w:r>
    </w:p>
    <w:p w14:paraId="3A77A86B" w14:textId="763CBBF1" w:rsidR="008577C5" w:rsidRDefault="008577C5" w:rsidP="008577C5">
      <w:pPr>
        <w:pStyle w:val="OutlineNumbered1"/>
      </w:pPr>
      <w:r>
        <w:t>Can the system benefit from any additional categories of roll-overs? To what extent would any additional roll-over category encourage the active use of assets in the economy and maintain the integrity of the system generally?</w:t>
      </w:r>
    </w:p>
    <w:p w14:paraId="16C3E00B" w14:textId="4F615234" w:rsidR="006279D5" w:rsidRDefault="006279D5" w:rsidP="008577C5">
      <w:pPr>
        <w:pStyle w:val="OutlineNumbered1"/>
      </w:pPr>
      <w:r>
        <w:t xml:space="preserve">Are there any redundant roll-overs? </w:t>
      </w:r>
    </w:p>
    <w:p w14:paraId="1B84F098" w14:textId="0866092B" w:rsidR="008577C5" w:rsidRDefault="008577C5" w:rsidP="008577C5">
      <w:pPr>
        <w:pStyle w:val="OutlineNumbered1"/>
      </w:pPr>
      <w:r>
        <w:t>What do you consider to be the main integrity risks with the current suite of roll-overs? Should specific integrity/purpose rules be built into the CGT roll-overs?</w:t>
      </w:r>
    </w:p>
    <w:p w14:paraId="0ED93C42" w14:textId="79D8B988" w:rsidR="008577C5" w:rsidRDefault="008577C5" w:rsidP="008577C5">
      <w:pPr>
        <w:pStyle w:val="OutlineNumbered1"/>
      </w:pPr>
      <w:r>
        <w:t>How does the interaction of other aspects of the tax system, such as</w:t>
      </w:r>
      <w:r w:rsidR="006E2AFA">
        <w:t xml:space="preserve"> the</w:t>
      </w:r>
      <w:r>
        <w:t xml:space="preserve"> tax consolidation</w:t>
      </w:r>
      <w:r w:rsidR="006E2AFA">
        <w:t xml:space="preserve"> regime</w:t>
      </w:r>
      <w:r>
        <w:t xml:space="preserve">, impact the decision to choose a roll-over? Do these interactions create favourable or unfavourable outcomes? </w:t>
      </w:r>
    </w:p>
    <w:p w14:paraId="3EE96421" w14:textId="63A6821C" w:rsidR="008577C5" w:rsidRDefault="008577C5" w:rsidP="008577C5">
      <w:pPr>
        <w:pStyle w:val="OutlineNumbered1"/>
      </w:pPr>
      <w:r>
        <w:t>Given grandfathering of pre-CGT assets is a noted source of complexity in the CGT regime, should the pre-CGT status of assets continue to be preserved in connection with roll-overs?</w:t>
      </w:r>
    </w:p>
    <w:p w14:paraId="1AB309A7" w14:textId="1196D0DC" w:rsidR="008577C5" w:rsidRDefault="008577C5" w:rsidP="008577C5">
      <w:pPr>
        <w:pStyle w:val="OutlineNumbered1"/>
      </w:pPr>
      <w:r>
        <w:t>Can any changes be made to simplify the administrative and compliance obligations for taxpayers (particularly ‘mum and dad shareholders’) where a roll-over occurs?</w:t>
      </w:r>
    </w:p>
    <w:p w14:paraId="0E779831" w14:textId="1DD06DDC" w:rsidR="00325B6F" w:rsidRDefault="00325B6F">
      <w:pPr>
        <w:spacing w:before="0" w:after="160" w:line="259" w:lineRule="auto"/>
        <w:rPr>
          <w:rFonts w:cs="Arial"/>
          <w:color w:val="C00000"/>
          <w:kern w:val="32"/>
          <w:sz w:val="48"/>
          <w:szCs w:val="36"/>
        </w:rPr>
      </w:pPr>
    </w:p>
    <w:p w14:paraId="40824155" w14:textId="77777777" w:rsidR="00737656" w:rsidRDefault="00737656">
      <w:pPr>
        <w:spacing w:before="0" w:after="160" w:line="259" w:lineRule="auto"/>
        <w:rPr>
          <w:rFonts w:cs="Arial"/>
          <w:color w:val="C00000"/>
          <w:kern w:val="32"/>
          <w:sz w:val="48"/>
          <w:szCs w:val="36"/>
        </w:rPr>
      </w:pPr>
      <w:r>
        <w:br w:type="page"/>
      </w:r>
    </w:p>
    <w:p w14:paraId="6A5C985B" w14:textId="16DBEF4A" w:rsidR="00043A4B" w:rsidRDefault="00043A4B" w:rsidP="006C0046">
      <w:pPr>
        <w:pStyle w:val="Heading1"/>
      </w:pPr>
      <w:bookmarkStart w:id="10" w:name="_Toc31967328"/>
      <w:r>
        <w:lastRenderedPageBreak/>
        <w:t>Membership</w:t>
      </w:r>
      <w:bookmarkEnd w:id="10"/>
    </w:p>
    <w:p w14:paraId="5176CEE1" w14:textId="2EC689D8" w:rsidR="00754A10" w:rsidRPr="00296283" w:rsidRDefault="00754A10" w:rsidP="00754A10">
      <w:pPr>
        <w:pStyle w:val="Introductionparagraph"/>
      </w:pPr>
      <w:r w:rsidRPr="004714F8">
        <w:t xml:space="preserve">The Board has appointed Board members </w:t>
      </w:r>
      <w:r>
        <w:t>Craig Yaxley</w:t>
      </w:r>
      <w:r w:rsidRPr="004714F8">
        <w:t xml:space="preserve"> and </w:t>
      </w:r>
      <w:r>
        <w:t xml:space="preserve">Ann-Maree Wolff </w:t>
      </w:r>
      <w:r w:rsidRPr="004714F8">
        <w:t xml:space="preserve">to lead this review. </w:t>
      </w:r>
      <w:r w:rsidRPr="00DC77BA">
        <w:t xml:space="preserve">The </w:t>
      </w:r>
      <w:r>
        <w:t>Board</w:t>
      </w:r>
      <w:r w:rsidRPr="00DC77BA">
        <w:t xml:space="preserve"> </w:t>
      </w:r>
      <w:r>
        <w:t xml:space="preserve">is working in close partnership with </w:t>
      </w:r>
      <w:r w:rsidR="004C4087">
        <w:t>members from academia</w:t>
      </w:r>
      <w:r w:rsidR="008C522F">
        <w:t xml:space="preserve">, </w:t>
      </w:r>
      <w:r w:rsidR="004C4087">
        <w:t>the tax profession</w:t>
      </w:r>
      <w:r w:rsidR="008C522F">
        <w:t>, the Treasury and the ATO who have been</w:t>
      </w:r>
      <w:r w:rsidR="004C4087">
        <w:t xml:space="preserve"> </w:t>
      </w:r>
      <w:r>
        <w:t xml:space="preserve">appointed to </w:t>
      </w:r>
      <w:r w:rsidR="004C4087">
        <w:t>a w</w:t>
      </w:r>
      <w:r>
        <w:t xml:space="preserve">orking </w:t>
      </w:r>
      <w:r w:rsidR="004C4087">
        <w:t>g</w:t>
      </w:r>
      <w:r>
        <w:t>roup.</w:t>
      </w:r>
    </w:p>
    <w:tbl>
      <w:tblPr>
        <w:tblStyle w:val="TableGrid"/>
        <w:tblW w:w="9712" w:type="dxa"/>
        <w:tblLook w:val="04A0" w:firstRow="1" w:lastRow="0" w:firstColumn="1" w:lastColumn="0" w:noHBand="0" w:noVBand="1"/>
      </w:tblPr>
      <w:tblGrid>
        <w:gridCol w:w="4856"/>
        <w:gridCol w:w="4856"/>
      </w:tblGrid>
      <w:tr w:rsidR="00754A10" w14:paraId="7F173C71" w14:textId="77777777" w:rsidTr="00F26A2E">
        <w:trPr>
          <w:trHeight w:val="492"/>
        </w:trPr>
        <w:tc>
          <w:tcPr>
            <w:tcW w:w="4856" w:type="dxa"/>
            <w:hideMark/>
          </w:tcPr>
          <w:p w14:paraId="55EB7BE2" w14:textId="77777777" w:rsidR="00754A10" w:rsidRDefault="00754A10" w:rsidP="00F26A2E">
            <w:pPr>
              <w:rPr>
                <w:b/>
                <w:color w:val="C00000"/>
                <w:sz w:val="28"/>
                <w:szCs w:val="28"/>
              </w:rPr>
            </w:pPr>
            <w:r>
              <w:rPr>
                <w:b/>
                <w:color w:val="C00000"/>
                <w:sz w:val="28"/>
                <w:szCs w:val="28"/>
              </w:rPr>
              <w:t>Craig Yaxley</w:t>
            </w:r>
          </w:p>
        </w:tc>
        <w:tc>
          <w:tcPr>
            <w:tcW w:w="4856" w:type="dxa"/>
            <w:hideMark/>
          </w:tcPr>
          <w:p w14:paraId="45FC6764" w14:textId="77777777" w:rsidR="00754A10" w:rsidRDefault="00754A10" w:rsidP="00F26A2E">
            <w:pPr>
              <w:rPr>
                <w:b/>
                <w:color w:val="C00000"/>
                <w:sz w:val="28"/>
                <w:szCs w:val="28"/>
              </w:rPr>
            </w:pPr>
            <w:r>
              <w:rPr>
                <w:b/>
                <w:color w:val="C00000"/>
                <w:sz w:val="28"/>
                <w:szCs w:val="28"/>
              </w:rPr>
              <w:t>Ann-Maree Wolff</w:t>
            </w:r>
          </w:p>
        </w:tc>
      </w:tr>
      <w:tr w:rsidR="00754A10" w14:paraId="4D1A3972" w14:textId="77777777" w:rsidTr="00DB457C">
        <w:trPr>
          <w:trHeight w:val="1078"/>
        </w:trPr>
        <w:tc>
          <w:tcPr>
            <w:tcW w:w="4856" w:type="dxa"/>
            <w:hideMark/>
          </w:tcPr>
          <w:p w14:paraId="1CF4679A" w14:textId="49EB3D80" w:rsidR="00754A10" w:rsidRPr="00DB457C" w:rsidRDefault="00754A10" w:rsidP="00DB457C">
            <w:r>
              <w:rPr>
                <w:sz w:val="24"/>
                <w:szCs w:val="24"/>
              </w:rPr>
              <w:t xml:space="preserve">Craig has been a Board member since </w:t>
            </w:r>
            <w:r w:rsidR="00DB457C">
              <w:rPr>
                <w:sz w:val="24"/>
                <w:szCs w:val="24"/>
              </w:rPr>
              <w:t>2015</w:t>
            </w:r>
            <w:r>
              <w:rPr>
                <w:sz w:val="24"/>
                <w:szCs w:val="24"/>
              </w:rPr>
              <w:t xml:space="preserve">. He is </w:t>
            </w:r>
            <w:r w:rsidR="00DB457C">
              <w:rPr>
                <w:sz w:val="24"/>
                <w:szCs w:val="24"/>
              </w:rPr>
              <w:t xml:space="preserve">a Senior Partner with KPMG and has over 30 years of corporate tax experience. </w:t>
            </w:r>
          </w:p>
        </w:tc>
        <w:tc>
          <w:tcPr>
            <w:tcW w:w="4856" w:type="dxa"/>
            <w:hideMark/>
          </w:tcPr>
          <w:p w14:paraId="67373C89" w14:textId="57DE546A" w:rsidR="00754A10" w:rsidRDefault="00754A10" w:rsidP="00DB457C">
            <w:pPr>
              <w:jc w:val="left"/>
              <w:rPr>
                <w:sz w:val="24"/>
                <w:szCs w:val="24"/>
              </w:rPr>
            </w:pPr>
            <w:r>
              <w:rPr>
                <w:sz w:val="24"/>
                <w:szCs w:val="24"/>
              </w:rPr>
              <w:t xml:space="preserve">Ann-Maree </w:t>
            </w:r>
            <w:r w:rsidR="00DB457C">
              <w:rPr>
                <w:sz w:val="24"/>
                <w:szCs w:val="24"/>
              </w:rPr>
              <w:t xml:space="preserve">has been a Board member since 2015 and </w:t>
            </w:r>
            <w:r>
              <w:rPr>
                <w:sz w:val="24"/>
                <w:szCs w:val="24"/>
              </w:rPr>
              <w:t xml:space="preserve">is the global head of tax for Rio Tinto. </w:t>
            </w:r>
          </w:p>
        </w:tc>
      </w:tr>
    </w:tbl>
    <w:p w14:paraId="021AB6EA" w14:textId="77777777" w:rsidR="00754A10" w:rsidRDefault="00754A10" w:rsidP="00754A10"/>
    <w:tbl>
      <w:tblPr>
        <w:tblStyle w:val="TableGrid"/>
        <w:tblW w:w="9712" w:type="dxa"/>
        <w:tblLook w:val="04A0" w:firstRow="1" w:lastRow="0" w:firstColumn="1" w:lastColumn="0" w:noHBand="0" w:noVBand="1"/>
      </w:tblPr>
      <w:tblGrid>
        <w:gridCol w:w="2552"/>
        <w:gridCol w:w="2693"/>
        <w:gridCol w:w="4467"/>
      </w:tblGrid>
      <w:tr w:rsidR="00754A10" w14:paraId="2FBBD152" w14:textId="77777777" w:rsidTr="00F26A2E">
        <w:tc>
          <w:tcPr>
            <w:tcW w:w="2552" w:type="dxa"/>
            <w:hideMark/>
          </w:tcPr>
          <w:p w14:paraId="3BFF7FB0" w14:textId="3A8B3A31" w:rsidR="00754A10" w:rsidRPr="00E53F33" w:rsidRDefault="00E53F33" w:rsidP="00F26A2E">
            <w:pPr>
              <w:jc w:val="left"/>
              <w:rPr>
                <w:b/>
                <w:color w:val="002060"/>
                <w:sz w:val="24"/>
                <w:szCs w:val="24"/>
              </w:rPr>
            </w:pPr>
            <w:r>
              <w:rPr>
                <w:b/>
                <w:color w:val="002060"/>
                <w:sz w:val="24"/>
                <w:szCs w:val="24"/>
              </w:rPr>
              <w:t>Mark Pizzacalla</w:t>
            </w:r>
          </w:p>
        </w:tc>
        <w:tc>
          <w:tcPr>
            <w:tcW w:w="2693" w:type="dxa"/>
            <w:hideMark/>
          </w:tcPr>
          <w:p w14:paraId="53D2525C" w14:textId="77777777" w:rsidR="00754A10" w:rsidRDefault="00754A10" w:rsidP="00F26A2E">
            <w:pPr>
              <w:jc w:val="left"/>
              <w:rPr>
                <w:sz w:val="24"/>
                <w:szCs w:val="24"/>
              </w:rPr>
            </w:pPr>
            <w:r>
              <w:rPr>
                <w:sz w:val="24"/>
                <w:szCs w:val="24"/>
              </w:rPr>
              <w:t>Board Member</w:t>
            </w:r>
          </w:p>
        </w:tc>
        <w:tc>
          <w:tcPr>
            <w:tcW w:w="4467" w:type="dxa"/>
            <w:hideMark/>
          </w:tcPr>
          <w:p w14:paraId="46AE81F1" w14:textId="77777777" w:rsidR="00754A10" w:rsidRDefault="00754A10" w:rsidP="00F26A2E">
            <w:pPr>
              <w:jc w:val="left"/>
              <w:rPr>
                <w:sz w:val="24"/>
                <w:szCs w:val="24"/>
              </w:rPr>
            </w:pPr>
            <w:r>
              <w:rPr>
                <w:sz w:val="24"/>
                <w:szCs w:val="24"/>
              </w:rPr>
              <w:t>Board of Taxation</w:t>
            </w:r>
          </w:p>
        </w:tc>
      </w:tr>
      <w:tr w:rsidR="00E53F33" w14:paraId="377B0E4D" w14:textId="77777777" w:rsidTr="00F26A2E">
        <w:tc>
          <w:tcPr>
            <w:tcW w:w="2552" w:type="dxa"/>
          </w:tcPr>
          <w:p w14:paraId="0BF84D77" w14:textId="0C118640" w:rsidR="00E53F33" w:rsidRDefault="00E53F33" w:rsidP="00F26A2E">
            <w:pPr>
              <w:rPr>
                <w:b/>
                <w:color w:val="002060"/>
                <w:sz w:val="24"/>
                <w:szCs w:val="24"/>
              </w:rPr>
            </w:pPr>
            <w:r>
              <w:rPr>
                <w:b/>
                <w:color w:val="002060"/>
                <w:sz w:val="24"/>
                <w:szCs w:val="24"/>
              </w:rPr>
              <w:t>Martin Fry</w:t>
            </w:r>
          </w:p>
        </w:tc>
        <w:tc>
          <w:tcPr>
            <w:tcW w:w="2693" w:type="dxa"/>
          </w:tcPr>
          <w:p w14:paraId="4FC080CE" w14:textId="475921FF" w:rsidR="00E53F33" w:rsidRDefault="007E2C45" w:rsidP="00F26A2E">
            <w:pPr>
              <w:rPr>
                <w:sz w:val="24"/>
                <w:szCs w:val="24"/>
              </w:rPr>
            </w:pPr>
            <w:r>
              <w:rPr>
                <w:sz w:val="24"/>
                <w:szCs w:val="24"/>
              </w:rPr>
              <w:t>Partner</w:t>
            </w:r>
          </w:p>
        </w:tc>
        <w:tc>
          <w:tcPr>
            <w:tcW w:w="4467" w:type="dxa"/>
          </w:tcPr>
          <w:p w14:paraId="271A4FFB" w14:textId="70C3E65A" w:rsidR="00E53F33" w:rsidRDefault="007E2C45" w:rsidP="00F26A2E">
            <w:pPr>
              <w:rPr>
                <w:sz w:val="24"/>
                <w:szCs w:val="24"/>
              </w:rPr>
            </w:pPr>
            <w:r>
              <w:rPr>
                <w:sz w:val="24"/>
                <w:szCs w:val="24"/>
              </w:rPr>
              <w:t>Allens LinkLaters</w:t>
            </w:r>
          </w:p>
        </w:tc>
      </w:tr>
      <w:tr w:rsidR="00754A10" w14:paraId="39DE7236" w14:textId="77777777" w:rsidTr="00F26A2E">
        <w:tc>
          <w:tcPr>
            <w:tcW w:w="2552" w:type="dxa"/>
            <w:hideMark/>
          </w:tcPr>
          <w:p w14:paraId="5359F74D" w14:textId="77777777" w:rsidR="00754A10" w:rsidRDefault="00754A10" w:rsidP="00F26A2E">
            <w:pPr>
              <w:jc w:val="left"/>
              <w:rPr>
                <w:b/>
                <w:color w:val="C00000"/>
                <w:sz w:val="24"/>
                <w:szCs w:val="24"/>
              </w:rPr>
            </w:pPr>
            <w:r>
              <w:rPr>
                <w:b/>
                <w:color w:val="002060"/>
                <w:sz w:val="24"/>
                <w:szCs w:val="24"/>
              </w:rPr>
              <w:t>Richard Buchanan</w:t>
            </w:r>
          </w:p>
        </w:tc>
        <w:tc>
          <w:tcPr>
            <w:tcW w:w="2693" w:type="dxa"/>
            <w:hideMark/>
          </w:tcPr>
          <w:p w14:paraId="3D712DDF" w14:textId="6A16E460" w:rsidR="00754A10" w:rsidRDefault="00E53F33" w:rsidP="00F26A2E">
            <w:pPr>
              <w:jc w:val="left"/>
              <w:rPr>
                <w:sz w:val="24"/>
                <w:szCs w:val="24"/>
              </w:rPr>
            </w:pPr>
            <w:r>
              <w:rPr>
                <w:sz w:val="24"/>
                <w:szCs w:val="24"/>
              </w:rPr>
              <w:t>Partner</w:t>
            </w:r>
          </w:p>
        </w:tc>
        <w:tc>
          <w:tcPr>
            <w:tcW w:w="4467" w:type="dxa"/>
            <w:hideMark/>
          </w:tcPr>
          <w:p w14:paraId="39F9A93E" w14:textId="16284BC3" w:rsidR="00754A10" w:rsidRDefault="00E53F33" w:rsidP="00F26A2E">
            <w:pPr>
              <w:jc w:val="left"/>
              <w:rPr>
                <w:sz w:val="24"/>
                <w:szCs w:val="24"/>
              </w:rPr>
            </w:pPr>
            <w:r>
              <w:rPr>
                <w:sz w:val="24"/>
                <w:szCs w:val="24"/>
              </w:rPr>
              <w:t>EY</w:t>
            </w:r>
          </w:p>
        </w:tc>
      </w:tr>
      <w:tr w:rsidR="00754A10" w14:paraId="7A42E99A" w14:textId="77777777" w:rsidTr="00F26A2E">
        <w:tc>
          <w:tcPr>
            <w:tcW w:w="2552" w:type="dxa"/>
            <w:hideMark/>
          </w:tcPr>
          <w:p w14:paraId="25D04E6C" w14:textId="19092FF5" w:rsidR="00754A10" w:rsidRDefault="00E53F33" w:rsidP="00F26A2E">
            <w:pPr>
              <w:jc w:val="left"/>
              <w:rPr>
                <w:b/>
                <w:color w:val="C00000"/>
                <w:sz w:val="24"/>
                <w:szCs w:val="24"/>
              </w:rPr>
            </w:pPr>
            <w:r>
              <w:rPr>
                <w:b/>
                <w:color w:val="002060"/>
                <w:sz w:val="24"/>
                <w:szCs w:val="24"/>
              </w:rPr>
              <w:t>Richard Hendriks</w:t>
            </w:r>
          </w:p>
        </w:tc>
        <w:tc>
          <w:tcPr>
            <w:tcW w:w="2693" w:type="dxa"/>
            <w:hideMark/>
          </w:tcPr>
          <w:p w14:paraId="435D3FAE" w14:textId="4A2D5E9D" w:rsidR="00754A10" w:rsidRDefault="00E53F33" w:rsidP="004C4087">
            <w:pPr>
              <w:jc w:val="left"/>
              <w:rPr>
                <w:sz w:val="24"/>
                <w:szCs w:val="24"/>
              </w:rPr>
            </w:pPr>
            <w:r>
              <w:rPr>
                <w:sz w:val="24"/>
                <w:szCs w:val="24"/>
              </w:rPr>
              <w:t>Director</w:t>
            </w:r>
          </w:p>
        </w:tc>
        <w:tc>
          <w:tcPr>
            <w:tcW w:w="4467" w:type="dxa"/>
            <w:hideMark/>
          </w:tcPr>
          <w:p w14:paraId="6B60C3C2" w14:textId="17EBA6E4" w:rsidR="00754A10" w:rsidRDefault="007E2C45" w:rsidP="00F26A2E">
            <w:pPr>
              <w:jc w:val="left"/>
              <w:rPr>
                <w:sz w:val="24"/>
                <w:szCs w:val="24"/>
              </w:rPr>
            </w:pPr>
            <w:r>
              <w:rPr>
                <w:sz w:val="24"/>
                <w:szCs w:val="24"/>
              </w:rPr>
              <w:t>Greenwoods &amp; Herbert Smith Freehills</w:t>
            </w:r>
          </w:p>
        </w:tc>
      </w:tr>
      <w:tr w:rsidR="00754A10" w14:paraId="27FB2A8D" w14:textId="77777777" w:rsidTr="00F26A2E">
        <w:tc>
          <w:tcPr>
            <w:tcW w:w="2552" w:type="dxa"/>
          </w:tcPr>
          <w:p w14:paraId="7408AA29" w14:textId="77777777" w:rsidR="00754A10" w:rsidRDefault="00754A10" w:rsidP="00F26A2E">
            <w:pPr>
              <w:rPr>
                <w:b/>
                <w:color w:val="002060"/>
                <w:sz w:val="24"/>
                <w:szCs w:val="24"/>
              </w:rPr>
            </w:pPr>
            <w:r>
              <w:rPr>
                <w:b/>
                <w:color w:val="002060"/>
                <w:sz w:val="24"/>
                <w:szCs w:val="24"/>
              </w:rPr>
              <w:t>Greg Mascaro</w:t>
            </w:r>
          </w:p>
        </w:tc>
        <w:tc>
          <w:tcPr>
            <w:tcW w:w="2693" w:type="dxa"/>
          </w:tcPr>
          <w:p w14:paraId="0B74D26C" w14:textId="29915C5A" w:rsidR="00754A10" w:rsidRDefault="00754A10" w:rsidP="00E53F33">
            <w:pPr>
              <w:rPr>
                <w:sz w:val="24"/>
                <w:szCs w:val="24"/>
              </w:rPr>
            </w:pPr>
            <w:r>
              <w:rPr>
                <w:sz w:val="24"/>
                <w:szCs w:val="24"/>
              </w:rPr>
              <w:t>P</w:t>
            </w:r>
            <w:r w:rsidR="00E53F33">
              <w:rPr>
                <w:sz w:val="24"/>
                <w:szCs w:val="24"/>
              </w:rPr>
              <w:t>rincipal</w:t>
            </w:r>
          </w:p>
        </w:tc>
        <w:tc>
          <w:tcPr>
            <w:tcW w:w="4467" w:type="dxa"/>
          </w:tcPr>
          <w:p w14:paraId="1BB91F86" w14:textId="25C9DC54" w:rsidR="00754A10" w:rsidRDefault="00E53F33" w:rsidP="00F26A2E">
            <w:pPr>
              <w:rPr>
                <w:sz w:val="24"/>
                <w:szCs w:val="24"/>
              </w:rPr>
            </w:pPr>
            <w:r>
              <w:rPr>
                <w:sz w:val="24"/>
                <w:szCs w:val="24"/>
              </w:rPr>
              <w:t>Kenworthy &amp; Associates</w:t>
            </w:r>
          </w:p>
        </w:tc>
      </w:tr>
      <w:tr w:rsidR="00754A10" w14:paraId="580601F6" w14:textId="77777777" w:rsidTr="00F26A2E">
        <w:tc>
          <w:tcPr>
            <w:tcW w:w="2552" w:type="dxa"/>
            <w:hideMark/>
          </w:tcPr>
          <w:p w14:paraId="699C3903" w14:textId="6230BED0" w:rsidR="00754A10" w:rsidRDefault="00E53F33" w:rsidP="00F26A2E">
            <w:pPr>
              <w:jc w:val="left"/>
              <w:rPr>
                <w:b/>
                <w:color w:val="C00000"/>
                <w:sz w:val="24"/>
                <w:szCs w:val="24"/>
              </w:rPr>
            </w:pPr>
            <w:r>
              <w:rPr>
                <w:b/>
                <w:color w:val="002060"/>
                <w:sz w:val="24"/>
                <w:szCs w:val="24"/>
              </w:rPr>
              <w:t>Dale Pinto</w:t>
            </w:r>
          </w:p>
        </w:tc>
        <w:tc>
          <w:tcPr>
            <w:tcW w:w="2693" w:type="dxa"/>
            <w:hideMark/>
          </w:tcPr>
          <w:p w14:paraId="29442778" w14:textId="12717BD2" w:rsidR="00754A10" w:rsidRDefault="00754A10" w:rsidP="00F26A2E">
            <w:pPr>
              <w:jc w:val="left"/>
              <w:rPr>
                <w:sz w:val="24"/>
                <w:szCs w:val="24"/>
              </w:rPr>
            </w:pPr>
            <w:r>
              <w:rPr>
                <w:sz w:val="24"/>
                <w:szCs w:val="24"/>
              </w:rPr>
              <w:t>Professor</w:t>
            </w:r>
            <w:r w:rsidR="00E53F33">
              <w:rPr>
                <w:sz w:val="24"/>
                <w:szCs w:val="24"/>
              </w:rPr>
              <w:t xml:space="preserve"> of Taxation</w:t>
            </w:r>
            <w:r w:rsidR="004C4087">
              <w:rPr>
                <w:sz w:val="24"/>
                <w:szCs w:val="24"/>
              </w:rPr>
              <w:t xml:space="preserve"> Law</w:t>
            </w:r>
          </w:p>
        </w:tc>
        <w:tc>
          <w:tcPr>
            <w:tcW w:w="4467" w:type="dxa"/>
            <w:hideMark/>
          </w:tcPr>
          <w:p w14:paraId="36AAF857" w14:textId="3BF426AD" w:rsidR="00754A10" w:rsidRDefault="004C4087" w:rsidP="00F26A2E">
            <w:pPr>
              <w:jc w:val="left"/>
              <w:rPr>
                <w:sz w:val="24"/>
                <w:szCs w:val="24"/>
              </w:rPr>
            </w:pPr>
            <w:r>
              <w:rPr>
                <w:sz w:val="24"/>
                <w:szCs w:val="24"/>
              </w:rPr>
              <w:t xml:space="preserve">Curtin Law School, </w:t>
            </w:r>
            <w:r w:rsidR="00E53F33">
              <w:rPr>
                <w:sz w:val="24"/>
                <w:szCs w:val="24"/>
              </w:rPr>
              <w:t>Curtin University</w:t>
            </w:r>
          </w:p>
        </w:tc>
      </w:tr>
      <w:tr w:rsidR="00754A10" w14:paraId="7D4AA5DE" w14:textId="77777777" w:rsidTr="00F26A2E">
        <w:trPr>
          <w:trHeight w:val="495"/>
        </w:trPr>
        <w:tc>
          <w:tcPr>
            <w:tcW w:w="2552" w:type="dxa"/>
            <w:hideMark/>
          </w:tcPr>
          <w:p w14:paraId="79862AD5" w14:textId="3D7741E3" w:rsidR="00754A10" w:rsidRDefault="00E53F33" w:rsidP="00F26A2E">
            <w:pPr>
              <w:jc w:val="left"/>
              <w:rPr>
                <w:b/>
                <w:color w:val="C00000"/>
                <w:sz w:val="24"/>
                <w:szCs w:val="24"/>
              </w:rPr>
            </w:pPr>
            <w:r>
              <w:rPr>
                <w:b/>
                <w:color w:val="002060"/>
                <w:sz w:val="24"/>
                <w:szCs w:val="24"/>
              </w:rPr>
              <w:t>The Treasury</w:t>
            </w:r>
          </w:p>
        </w:tc>
        <w:tc>
          <w:tcPr>
            <w:tcW w:w="2693" w:type="dxa"/>
            <w:hideMark/>
          </w:tcPr>
          <w:p w14:paraId="2B261FDF" w14:textId="0A790176" w:rsidR="00754A10" w:rsidRDefault="00754A10" w:rsidP="00F26A2E">
            <w:pPr>
              <w:jc w:val="left"/>
              <w:rPr>
                <w:sz w:val="24"/>
                <w:szCs w:val="24"/>
              </w:rPr>
            </w:pPr>
          </w:p>
        </w:tc>
        <w:tc>
          <w:tcPr>
            <w:tcW w:w="4467" w:type="dxa"/>
            <w:hideMark/>
          </w:tcPr>
          <w:p w14:paraId="70A17677" w14:textId="4F5B428B" w:rsidR="00754A10" w:rsidRDefault="00754A10" w:rsidP="00F26A2E">
            <w:pPr>
              <w:jc w:val="left"/>
              <w:rPr>
                <w:sz w:val="24"/>
                <w:szCs w:val="24"/>
              </w:rPr>
            </w:pPr>
          </w:p>
        </w:tc>
      </w:tr>
      <w:tr w:rsidR="00754A10" w14:paraId="4B0939FA" w14:textId="77777777" w:rsidTr="00E53F33">
        <w:tc>
          <w:tcPr>
            <w:tcW w:w="2552" w:type="dxa"/>
            <w:hideMark/>
          </w:tcPr>
          <w:p w14:paraId="33CA328E" w14:textId="5D4F5B68" w:rsidR="00754A10" w:rsidRDefault="00E53F33" w:rsidP="00F26A2E">
            <w:pPr>
              <w:jc w:val="left"/>
              <w:rPr>
                <w:b/>
                <w:color w:val="C00000"/>
                <w:sz w:val="24"/>
                <w:szCs w:val="24"/>
              </w:rPr>
            </w:pPr>
            <w:r>
              <w:rPr>
                <w:b/>
                <w:color w:val="002060"/>
                <w:sz w:val="24"/>
                <w:szCs w:val="24"/>
              </w:rPr>
              <w:t>Australian Taxation Office</w:t>
            </w:r>
          </w:p>
        </w:tc>
        <w:tc>
          <w:tcPr>
            <w:tcW w:w="2693" w:type="dxa"/>
          </w:tcPr>
          <w:p w14:paraId="6F0243A1" w14:textId="44335F9A" w:rsidR="00754A10" w:rsidRDefault="00754A10" w:rsidP="00F26A2E">
            <w:pPr>
              <w:jc w:val="left"/>
              <w:rPr>
                <w:sz w:val="24"/>
                <w:szCs w:val="24"/>
              </w:rPr>
            </w:pPr>
          </w:p>
        </w:tc>
        <w:tc>
          <w:tcPr>
            <w:tcW w:w="4467" w:type="dxa"/>
          </w:tcPr>
          <w:p w14:paraId="44E973B8" w14:textId="0E5A95D9" w:rsidR="00754A10" w:rsidRDefault="00754A10" w:rsidP="00F26A2E">
            <w:pPr>
              <w:jc w:val="left"/>
              <w:rPr>
                <w:sz w:val="24"/>
                <w:szCs w:val="24"/>
              </w:rPr>
            </w:pPr>
          </w:p>
        </w:tc>
      </w:tr>
    </w:tbl>
    <w:p w14:paraId="6A5C9886" w14:textId="77777777" w:rsidR="001E1198" w:rsidRPr="002651E8" w:rsidRDefault="001E1198" w:rsidP="002651E8">
      <w:r>
        <w:br w:type="page"/>
      </w:r>
    </w:p>
    <w:p w14:paraId="5D1C4839" w14:textId="77777777" w:rsidR="00754A10" w:rsidRDefault="00754A10" w:rsidP="00754A10">
      <w:pPr>
        <w:pStyle w:val="Heading1"/>
      </w:pPr>
      <w:bookmarkStart w:id="11" w:name="_Toc31967329"/>
      <w:r>
        <w:lastRenderedPageBreak/>
        <w:t>How to participate</w:t>
      </w:r>
      <w:bookmarkEnd w:id="11"/>
    </w:p>
    <w:p w14:paraId="210B9C6F" w14:textId="77777777" w:rsidR="00754A10" w:rsidRPr="005044AB" w:rsidRDefault="00754A10" w:rsidP="00754A10">
      <w:pPr>
        <w:pStyle w:val="Introductionparagraph"/>
      </w:pPr>
      <w:r w:rsidRPr="005044AB">
        <w:t>T</w:t>
      </w:r>
      <w:r>
        <w:t>he Board invites comment on the consultation questions</w:t>
      </w:r>
      <w:r w:rsidRPr="005044AB">
        <w:t xml:space="preserve"> set out in this consultation guide and looks forward to engaging further with </w:t>
      </w:r>
      <w:r>
        <w:t xml:space="preserve">interested parties </w:t>
      </w:r>
      <w:r w:rsidRPr="005044AB">
        <w:t>throughout the course of this review.</w:t>
      </w:r>
    </w:p>
    <w:p w14:paraId="557D0D1D" w14:textId="77777777" w:rsidR="00754A10" w:rsidRPr="003A6050" w:rsidRDefault="00754A10" w:rsidP="00754A10">
      <w:pPr>
        <w:rPr>
          <w:color w:val="C00000"/>
          <w:sz w:val="36"/>
          <w:szCs w:val="36"/>
        </w:rPr>
      </w:pPr>
      <w:r w:rsidRPr="003A6050">
        <w:rPr>
          <w:color w:val="C00000"/>
          <w:sz w:val="36"/>
          <w:szCs w:val="36"/>
        </w:rPr>
        <w:t>Consultations</w:t>
      </w:r>
    </w:p>
    <w:p w14:paraId="7E7839DE" w14:textId="77777777" w:rsidR="008353B9" w:rsidRDefault="00754A10" w:rsidP="00754A10">
      <w:r>
        <w:t>The</w:t>
      </w:r>
      <w:r w:rsidRPr="00F05CA4">
        <w:t xml:space="preserve"> </w:t>
      </w:r>
      <w:r>
        <w:t xml:space="preserve">Board </w:t>
      </w:r>
      <w:r w:rsidR="008353B9">
        <w:t>will be holding</w:t>
      </w:r>
      <w:r>
        <w:t xml:space="preserve"> </w:t>
      </w:r>
      <w:r w:rsidR="008353B9">
        <w:t xml:space="preserve">a series </w:t>
      </w:r>
      <w:r>
        <w:t>of</w:t>
      </w:r>
      <w:r w:rsidR="008353B9">
        <w:t xml:space="preserve"> ‘in-person’</w:t>
      </w:r>
      <w:r>
        <w:t xml:space="preserve"> consultations</w:t>
      </w:r>
      <w:r w:rsidR="008353B9">
        <w:t>:</w:t>
      </w:r>
    </w:p>
    <w:p w14:paraId="66A8EA96" w14:textId="71EAB976" w:rsidR="008353B9" w:rsidRDefault="008353B9" w:rsidP="008353B9">
      <w:pPr>
        <w:pStyle w:val="ListParagraph"/>
        <w:numPr>
          <w:ilvl w:val="0"/>
          <w:numId w:val="20"/>
        </w:numPr>
      </w:pPr>
      <w:r>
        <w:t>Melbourne</w:t>
      </w:r>
      <w:r w:rsidR="00BD3620">
        <w:tab/>
      </w:r>
      <w:r>
        <w:t>Thursday 20 February 2020</w:t>
      </w:r>
      <w:r w:rsidR="00754A10">
        <w:t>.</w:t>
      </w:r>
    </w:p>
    <w:p w14:paraId="18FA1B92" w14:textId="0A80DD37" w:rsidR="008353B9" w:rsidRDefault="008353B9" w:rsidP="008353B9">
      <w:pPr>
        <w:pStyle w:val="ListParagraph"/>
        <w:numPr>
          <w:ilvl w:val="0"/>
          <w:numId w:val="20"/>
        </w:numPr>
      </w:pPr>
      <w:r>
        <w:t xml:space="preserve">Sydney </w:t>
      </w:r>
      <w:r w:rsidR="00BD3620">
        <w:tab/>
      </w:r>
      <w:r w:rsidR="00BD3620">
        <w:tab/>
      </w:r>
      <w:r>
        <w:t>Thursday 26 March 2020.</w:t>
      </w:r>
    </w:p>
    <w:p w14:paraId="31A7B961" w14:textId="2C5D1580" w:rsidR="00F46C18" w:rsidRDefault="005F5591" w:rsidP="008353B9">
      <w:pPr>
        <w:pStyle w:val="ListParagraph"/>
        <w:numPr>
          <w:ilvl w:val="0"/>
          <w:numId w:val="20"/>
        </w:numPr>
      </w:pPr>
      <w:r>
        <w:t>Perth</w:t>
      </w:r>
      <w:r>
        <w:tab/>
      </w:r>
      <w:r>
        <w:tab/>
      </w:r>
      <w:r w:rsidR="001E67B9" w:rsidRPr="001E67B9">
        <w:t>Tuesday 21</w:t>
      </w:r>
      <w:r w:rsidR="00D50F8C" w:rsidRPr="001E67B9">
        <w:t xml:space="preserve"> April 2020.</w:t>
      </w:r>
      <w:r w:rsidR="00D50F8C">
        <w:t xml:space="preserve"> </w:t>
      </w:r>
    </w:p>
    <w:p w14:paraId="297639C1" w14:textId="6433FD3F" w:rsidR="008353B9" w:rsidRDefault="008353B9" w:rsidP="008353B9">
      <w:pPr>
        <w:pStyle w:val="ListParagraph"/>
        <w:numPr>
          <w:ilvl w:val="0"/>
          <w:numId w:val="20"/>
        </w:numPr>
      </w:pPr>
      <w:r>
        <w:t>Brisbane</w:t>
      </w:r>
      <w:r w:rsidR="00BD3620">
        <w:tab/>
      </w:r>
      <w:r>
        <w:t xml:space="preserve">Thursday 30 April 2020. </w:t>
      </w:r>
    </w:p>
    <w:p w14:paraId="5FBEB9A5" w14:textId="41B926CD" w:rsidR="008353B9" w:rsidRDefault="008353B9" w:rsidP="008353B9">
      <w:r>
        <w:t xml:space="preserve">If you would like to participate in discussions, please express your interest at </w:t>
      </w:r>
      <w:hyperlink r:id="rId22" w:history="1">
        <w:r w:rsidR="00737656" w:rsidRPr="009F63A8">
          <w:rPr>
            <w:rStyle w:val="Hyperlink"/>
          </w:rPr>
          <w:t>CGTRollovers@taxboard.gov.au</w:t>
        </w:r>
      </w:hyperlink>
      <w:r>
        <w:t xml:space="preserve">, and let us know where you are located. </w:t>
      </w:r>
    </w:p>
    <w:p w14:paraId="3500BB39" w14:textId="77777777" w:rsidR="00754A10" w:rsidRPr="003A6050" w:rsidRDefault="00754A10" w:rsidP="00754A10">
      <w:pPr>
        <w:rPr>
          <w:color w:val="C00000"/>
          <w:sz w:val="36"/>
          <w:szCs w:val="36"/>
        </w:rPr>
      </w:pPr>
      <w:r w:rsidRPr="003A6050">
        <w:rPr>
          <w:color w:val="C00000"/>
          <w:sz w:val="36"/>
          <w:szCs w:val="36"/>
        </w:rPr>
        <w:t>Submissions</w:t>
      </w:r>
    </w:p>
    <w:p w14:paraId="4DC44325" w14:textId="77777777" w:rsidR="00D50F8C" w:rsidRDefault="00E53F33" w:rsidP="00754A10">
      <w:r>
        <w:t>In addition to participating in consultations, t</w:t>
      </w:r>
      <w:r w:rsidR="00754A10" w:rsidRPr="00F05CA4">
        <w:t xml:space="preserve">he Board </w:t>
      </w:r>
      <w:r w:rsidR="005E4884">
        <w:t>welcomes any</w:t>
      </w:r>
      <w:r w:rsidR="00754A10" w:rsidRPr="00F05CA4">
        <w:t xml:space="preserve"> </w:t>
      </w:r>
      <w:r w:rsidR="00754A10">
        <w:t xml:space="preserve">written </w:t>
      </w:r>
      <w:r w:rsidR="005E4884">
        <w:t xml:space="preserve">submissions to this review. </w:t>
      </w:r>
      <w:r w:rsidR="00754A10" w:rsidRPr="00F05CA4">
        <w:t xml:space="preserve">Submissions can be made </w:t>
      </w:r>
      <w:r w:rsidR="00754A10">
        <w:t>to</w:t>
      </w:r>
      <w:hyperlink r:id="rId23" w:history="1">
        <w:r w:rsidRPr="00EA0C18">
          <w:rPr>
            <w:rStyle w:val="Hyperlink"/>
          </w:rPr>
          <w:t xml:space="preserve"> CGTRollovers@taxboard.gov.au</w:t>
        </w:r>
      </w:hyperlink>
      <w:r w:rsidR="00754A10" w:rsidRPr="00F05CA4">
        <w:t xml:space="preserve"> or addressed to the Treasury’s Melbourne office below.</w:t>
      </w:r>
      <w:r w:rsidR="002459A3">
        <w:t xml:space="preserve"> </w:t>
      </w:r>
    </w:p>
    <w:p w14:paraId="4012273B" w14:textId="41F28F11" w:rsidR="001B7E07" w:rsidRDefault="002459A3" w:rsidP="001B7E07">
      <w:r>
        <w:t>Th</w:t>
      </w:r>
      <w:r w:rsidR="005F5591">
        <w:t>e Board will accept submissions in response to this Consultation Guide</w:t>
      </w:r>
      <w:r w:rsidR="00D50F8C">
        <w:t xml:space="preserve"> until </w:t>
      </w:r>
      <w:bookmarkStart w:id="12" w:name="_GoBack"/>
      <w:bookmarkEnd w:id="12"/>
      <w:r w:rsidR="00D50F8C" w:rsidRPr="001E67B9">
        <w:rPr>
          <w:b/>
        </w:rPr>
        <w:t>30 April 2020</w:t>
      </w:r>
      <w:r w:rsidR="00D50F8C" w:rsidRPr="001E67B9">
        <w:t>.</w:t>
      </w:r>
      <w:r w:rsidR="00D50F8C">
        <w:t xml:space="preserve"> </w:t>
      </w:r>
      <w:r w:rsidR="001B7E07">
        <w:t xml:space="preserve">All submissions will be published on the Board’s website except where the submission is made on a confidential basis. </w:t>
      </w:r>
    </w:p>
    <w:p w14:paraId="1EE3263D" w14:textId="018147BA" w:rsidR="001B7E07" w:rsidRPr="004A3EE0" w:rsidRDefault="001B7E07" w:rsidP="004A3EE0">
      <w:pPr>
        <w:rPr>
          <w:color w:val="C00000"/>
          <w:sz w:val="36"/>
          <w:szCs w:val="36"/>
        </w:rPr>
      </w:pPr>
      <w:r w:rsidRPr="004A3EE0">
        <w:rPr>
          <w:color w:val="C00000"/>
          <w:sz w:val="36"/>
          <w:szCs w:val="36"/>
        </w:rPr>
        <w:t>Discussion Paper</w:t>
      </w:r>
    </w:p>
    <w:p w14:paraId="781B4AC7" w14:textId="44186E8F" w:rsidR="00754A10" w:rsidRDefault="001B7E07" w:rsidP="00754A10">
      <w:r>
        <w:t xml:space="preserve">A Discussion Paper is expected to be </w:t>
      </w:r>
      <w:r w:rsidR="00D50F8C">
        <w:t>released in June</w:t>
      </w:r>
      <w:r>
        <w:t>. Submissions to the Discussion Paper will close on</w:t>
      </w:r>
      <w:r w:rsidR="00D50F8C">
        <w:t xml:space="preserve"> </w:t>
      </w:r>
      <w:r>
        <w:rPr>
          <w:b/>
        </w:rPr>
        <w:t>31</w:t>
      </w:r>
      <w:r w:rsidR="002459A3" w:rsidRPr="00E31E7E">
        <w:rPr>
          <w:b/>
        </w:rPr>
        <w:t xml:space="preserve"> </w:t>
      </w:r>
      <w:r w:rsidR="00F46C18" w:rsidRPr="00E31E7E">
        <w:rPr>
          <w:b/>
        </w:rPr>
        <w:t xml:space="preserve">August </w:t>
      </w:r>
      <w:r w:rsidR="002459A3" w:rsidRPr="00E31E7E">
        <w:rPr>
          <w:b/>
        </w:rPr>
        <w:t>20</w:t>
      </w:r>
      <w:r w:rsidR="00F46C18" w:rsidRPr="00E31E7E">
        <w:rPr>
          <w:b/>
        </w:rPr>
        <w:t>20</w:t>
      </w:r>
      <w:r w:rsidR="002459A3">
        <w:t xml:space="preserve">. </w:t>
      </w:r>
    </w:p>
    <w:p w14:paraId="4A10A2A9" w14:textId="77777777" w:rsidR="00754A10" w:rsidRPr="003A6050" w:rsidRDefault="00754A10" w:rsidP="00754A10">
      <w:pPr>
        <w:rPr>
          <w:color w:val="C00000"/>
          <w:sz w:val="36"/>
          <w:szCs w:val="36"/>
        </w:rPr>
      </w:pPr>
      <w:r w:rsidRPr="003A6050">
        <w:rPr>
          <w:color w:val="C00000"/>
          <w:sz w:val="36"/>
          <w:szCs w:val="36"/>
        </w:rPr>
        <w:t>Contact information</w:t>
      </w:r>
    </w:p>
    <w:p w14:paraId="7B3D1CA9" w14:textId="77777777" w:rsidR="00754A10" w:rsidRPr="00F05CA4" w:rsidRDefault="00754A10" w:rsidP="00754A10">
      <w:r w:rsidRPr="00F05CA4">
        <w:t>The Board is supported by a sec</w:t>
      </w:r>
      <w:r>
        <w:t>retariat based in the Treasury.</w:t>
      </w:r>
    </w:p>
    <w:p w14:paraId="7281757B" w14:textId="77777777" w:rsidR="00754A10" w:rsidRPr="00F05CA4" w:rsidRDefault="00754A10" w:rsidP="00754A10">
      <w:r w:rsidRPr="00F05CA4">
        <w:t>Board of Taxation Secretariat</w:t>
      </w:r>
    </w:p>
    <w:p w14:paraId="6B84D3B6" w14:textId="77777777" w:rsidR="00754A10" w:rsidRPr="00F05CA4" w:rsidRDefault="00754A10" w:rsidP="00754A10">
      <w:r w:rsidRPr="00F05CA4">
        <w:t>The Treasury – Melbourne Office</w:t>
      </w:r>
    </w:p>
    <w:p w14:paraId="61BAD9D6" w14:textId="77777777" w:rsidR="00754A10" w:rsidRPr="00F05CA4" w:rsidRDefault="00754A10" w:rsidP="00754A10">
      <w:r w:rsidRPr="00F05CA4">
        <w:t>Level 6, 120 Collins Street</w:t>
      </w:r>
    </w:p>
    <w:p w14:paraId="5843D629" w14:textId="77777777" w:rsidR="00754A10" w:rsidRDefault="00754A10" w:rsidP="00754A10">
      <w:r w:rsidRPr="00F05CA4">
        <w:t>Melbourne VIC 3121</w:t>
      </w:r>
    </w:p>
    <w:p w14:paraId="3D7BC08E" w14:textId="77D79DC1" w:rsidR="00754A10" w:rsidRDefault="001E67B9" w:rsidP="00754A10">
      <w:hyperlink r:id="rId24" w:history="1">
        <w:r w:rsidR="00E53F33" w:rsidRPr="00EA0C18">
          <w:rPr>
            <w:rStyle w:val="Hyperlink"/>
          </w:rPr>
          <w:t>CGTRollovers@taxboard.gov.au</w:t>
        </w:r>
      </w:hyperlink>
    </w:p>
    <w:p w14:paraId="4F96E35F" w14:textId="2FEC9486" w:rsidR="00754A10" w:rsidRPr="00043A4B" w:rsidRDefault="00754A10" w:rsidP="00754A10">
      <w:r w:rsidRPr="00F05CA4">
        <w:t xml:space="preserve">Phone: (02) 6263 </w:t>
      </w:r>
      <w:r w:rsidR="008353B9">
        <w:t>4366</w:t>
      </w:r>
    </w:p>
    <w:p w14:paraId="78D16AC8" w14:textId="61BC1C9B" w:rsidR="00121D2D" w:rsidRDefault="00121D2D" w:rsidP="003B5278">
      <w:pPr>
        <w:pStyle w:val="Heading1"/>
      </w:pPr>
      <w:bookmarkStart w:id="13" w:name="_Notes_–_Policy"/>
      <w:bookmarkStart w:id="14" w:name="_Toc31967330"/>
      <w:bookmarkEnd w:id="13"/>
      <w:r>
        <w:lastRenderedPageBreak/>
        <w:t xml:space="preserve">Notes – Policy </w:t>
      </w:r>
      <w:r w:rsidR="00073AEF">
        <w:t>r</w:t>
      </w:r>
      <w:r>
        <w:t>eferences</w:t>
      </w:r>
      <w:bookmarkEnd w:id="14"/>
      <w:r w:rsidR="00073AEF">
        <w:t xml:space="preserve"> </w:t>
      </w:r>
    </w:p>
    <w:tbl>
      <w:tblPr>
        <w:tblStyle w:val="TableGrid"/>
        <w:tblW w:w="0" w:type="auto"/>
        <w:tblLook w:val="04A0" w:firstRow="1" w:lastRow="0" w:firstColumn="1" w:lastColumn="0" w:noHBand="0" w:noVBand="1"/>
      </w:tblPr>
      <w:tblGrid>
        <w:gridCol w:w="1134"/>
        <w:gridCol w:w="8504"/>
      </w:tblGrid>
      <w:tr w:rsidR="0008037B" w:rsidRPr="0008037B" w14:paraId="53DE737B" w14:textId="77777777" w:rsidTr="0008037B">
        <w:tc>
          <w:tcPr>
            <w:tcW w:w="1134" w:type="dxa"/>
          </w:tcPr>
          <w:p w14:paraId="685706ED" w14:textId="22910182" w:rsidR="0008037B" w:rsidRDefault="0008037B" w:rsidP="00BA28BB">
            <w:pPr>
              <w:pStyle w:val="Heading5"/>
              <w:jc w:val="center"/>
              <w:outlineLvl w:val="4"/>
            </w:pPr>
            <w:r>
              <w:t>Roll-over</w:t>
            </w:r>
          </w:p>
        </w:tc>
        <w:tc>
          <w:tcPr>
            <w:tcW w:w="8504" w:type="dxa"/>
          </w:tcPr>
          <w:p w14:paraId="6DB1AA48" w14:textId="1F0EFD60" w:rsidR="0008037B" w:rsidRPr="0008037B" w:rsidRDefault="0008037B" w:rsidP="0008037B">
            <w:pPr>
              <w:pStyle w:val="Heading5"/>
              <w:outlineLvl w:val="4"/>
            </w:pPr>
            <w:r>
              <w:t>Policy reference</w:t>
            </w:r>
          </w:p>
        </w:tc>
      </w:tr>
      <w:tr w:rsidR="0008037B" w:rsidRPr="0008037B" w14:paraId="19F789B2" w14:textId="77777777" w:rsidTr="0008037B">
        <w:tc>
          <w:tcPr>
            <w:tcW w:w="1134" w:type="dxa"/>
          </w:tcPr>
          <w:p w14:paraId="73D5524F" w14:textId="0A11469D" w:rsidR="0008037B" w:rsidRDefault="0008037B" w:rsidP="00BA28BB">
            <w:pPr>
              <w:jc w:val="center"/>
            </w:pPr>
            <w:r>
              <w:t>122-A</w:t>
            </w:r>
          </w:p>
        </w:tc>
        <w:tc>
          <w:tcPr>
            <w:tcW w:w="8504" w:type="dxa"/>
          </w:tcPr>
          <w:p w14:paraId="61FBF51F" w14:textId="10180D55" w:rsidR="0008037B" w:rsidRPr="0008037B" w:rsidRDefault="0008037B" w:rsidP="00BA28BB">
            <w:pPr>
              <w:jc w:val="left"/>
            </w:pPr>
            <w:r w:rsidRPr="0008037B">
              <w:t xml:space="preserve">Keating, P (Treasurer) 1986, </w:t>
            </w:r>
            <w:r w:rsidRPr="0008037B">
              <w:rPr>
                <w:i/>
              </w:rPr>
              <w:t>Capital Gains Tax: Further Information</w:t>
            </w:r>
            <w:r w:rsidRPr="0008037B">
              <w:t xml:space="preserve">, media release No. 24, 20 March Canberra. See also Keating, P (Treasurer) 1985, </w:t>
            </w:r>
            <w:r w:rsidRPr="0008037B">
              <w:rPr>
                <w:i/>
              </w:rPr>
              <w:t>Reform of the Australian Taxation System</w:t>
            </w:r>
            <w:r w:rsidRPr="0008037B">
              <w:t xml:space="preserve">, Statement by the Treasurer, September, Canberra; Second reading speech – Commonwealth, </w:t>
            </w:r>
            <w:r w:rsidRPr="0008037B">
              <w:rPr>
                <w:i/>
              </w:rPr>
              <w:t xml:space="preserve">Parliamentary Debates, </w:t>
            </w:r>
            <w:r w:rsidRPr="0008037B">
              <w:t xml:space="preserve">House of Representatives, 22 May 1986, 3801 (Paul Keating, Treasurer). </w:t>
            </w:r>
          </w:p>
        </w:tc>
      </w:tr>
      <w:tr w:rsidR="0008037B" w:rsidRPr="0008037B" w14:paraId="2B56454B" w14:textId="77777777" w:rsidTr="0008037B">
        <w:tc>
          <w:tcPr>
            <w:tcW w:w="1134" w:type="dxa"/>
          </w:tcPr>
          <w:p w14:paraId="5C2763F4" w14:textId="35C567E7" w:rsidR="0008037B" w:rsidRPr="0008037B" w:rsidRDefault="0008037B" w:rsidP="00BA28BB">
            <w:pPr>
              <w:jc w:val="center"/>
            </w:pPr>
            <w:r w:rsidRPr="0008037B">
              <w:t>124-C</w:t>
            </w:r>
          </w:p>
        </w:tc>
        <w:tc>
          <w:tcPr>
            <w:tcW w:w="8504" w:type="dxa"/>
          </w:tcPr>
          <w:p w14:paraId="486A2690" w14:textId="5448E2B9" w:rsidR="0008037B" w:rsidRPr="0008037B" w:rsidRDefault="0008037B" w:rsidP="00BA28BB">
            <w:pPr>
              <w:jc w:val="left"/>
            </w:pPr>
            <w:r w:rsidRPr="0008037B">
              <w:t xml:space="preserve">Keating, P (Treasurer) 1988, </w:t>
            </w:r>
            <w:r w:rsidRPr="0008037B">
              <w:rPr>
                <w:i/>
              </w:rPr>
              <w:t>Statement by the Treasurer, Capital Gains Tax: Further Rollover Relief</w:t>
            </w:r>
            <w:r w:rsidRPr="0008037B">
              <w:t>, media release No.9, 28 January, Canberra</w:t>
            </w:r>
          </w:p>
        </w:tc>
      </w:tr>
      <w:tr w:rsidR="0008037B" w:rsidRPr="0008037B" w14:paraId="389A0928" w14:textId="77777777" w:rsidTr="0008037B">
        <w:tc>
          <w:tcPr>
            <w:tcW w:w="1134" w:type="dxa"/>
          </w:tcPr>
          <w:p w14:paraId="4DCDC6FC" w14:textId="712FC77B" w:rsidR="0008037B" w:rsidRPr="0008037B" w:rsidRDefault="0008037B" w:rsidP="00BA28BB">
            <w:pPr>
              <w:jc w:val="center"/>
            </w:pPr>
            <w:r w:rsidRPr="0008037B">
              <w:t>124-D</w:t>
            </w:r>
          </w:p>
        </w:tc>
        <w:tc>
          <w:tcPr>
            <w:tcW w:w="8504" w:type="dxa"/>
          </w:tcPr>
          <w:p w14:paraId="27AD2610" w14:textId="0EB61310" w:rsidR="0008037B" w:rsidRPr="0008037B" w:rsidRDefault="0008037B" w:rsidP="00BA28BB">
            <w:pPr>
              <w:jc w:val="left"/>
            </w:pPr>
            <w:r w:rsidRPr="0008037B">
              <w:t xml:space="preserve">Keating, P (Treasurer) 1989, </w:t>
            </w:r>
            <w:r w:rsidRPr="0008037B">
              <w:rPr>
                <w:i/>
              </w:rPr>
              <w:t>Amendments to the Capital Gains Tax</w:t>
            </w:r>
            <w:r w:rsidRPr="0008037B">
              <w:t xml:space="preserve">, media release No.74, 15 August, Canberra; Second reading speech - Commonwealth, </w:t>
            </w:r>
            <w:r w:rsidRPr="0008037B">
              <w:rPr>
                <w:i/>
              </w:rPr>
              <w:t>Parliamentary Debates</w:t>
            </w:r>
            <w:r w:rsidRPr="0008037B">
              <w:t>, House of Representatives, 9 May 1990, 179 (Simon Crean, Minister for Science and Technology and Minister Assisting the Treasurer).</w:t>
            </w:r>
          </w:p>
        </w:tc>
      </w:tr>
      <w:tr w:rsidR="0008037B" w:rsidRPr="0008037B" w14:paraId="1CF5BE8F" w14:textId="77777777" w:rsidTr="0008037B">
        <w:tc>
          <w:tcPr>
            <w:tcW w:w="1134" w:type="dxa"/>
          </w:tcPr>
          <w:p w14:paraId="3079A266" w14:textId="5104AD39" w:rsidR="0008037B" w:rsidRPr="0008037B" w:rsidRDefault="0008037B" w:rsidP="00BA28BB">
            <w:pPr>
              <w:jc w:val="center"/>
            </w:pPr>
            <w:r w:rsidRPr="0008037B">
              <w:t>124-F</w:t>
            </w:r>
          </w:p>
        </w:tc>
        <w:tc>
          <w:tcPr>
            <w:tcW w:w="8504" w:type="dxa"/>
          </w:tcPr>
          <w:p w14:paraId="085E191A" w14:textId="4ED488F3" w:rsidR="0008037B" w:rsidRPr="0008037B" w:rsidRDefault="0008037B" w:rsidP="00BA28BB">
            <w:pPr>
              <w:jc w:val="left"/>
            </w:pPr>
            <w:r w:rsidRPr="0008037B">
              <w:t xml:space="preserve">Second reading speech – Commonwealth, </w:t>
            </w:r>
            <w:r w:rsidRPr="0008037B">
              <w:rPr>
                <w:i/>
              </w:rPr>
              <w:t xml:space="preserve">Parliamentary Debates, </w:t>
            </w:r>
            <w:r w:rsidRPr="0008037B">
              <w:t>House of Representatives, 22 May 1986, 3801 (Paul Keating, Treasurer).</w:t>
            </w:r>
          </w:p>
        </w:tc>
      </w:tr>
      <w:tr w:rsidR="0008037B" w:rsidRPr="0008037B" w14:paraId="74452AE5" w14:textId="77777777" w:rsidTr="0008037B">
        <w:tc>
          <w:tcPr>
            <w:tcW w:w="1134" w:type="dxa"/>
          </w:tcPr>
          <w:p w14:paraId="7A92635E" w14:textId="3B764125" w:rsidR="0008037B" w:rsidRPr="0008037B" w:rsidRDefault="0008037B" w:rsidP="00BA28BB">
            <w:pPr>
              <w:jc w:val="center"/>
            </w:pPr>
            <w:r w:rsidRPr="0008037B">
              <w:t>124-I</w:t>
            </w:r>
          </w:p>
        </w:tc>
        <w:tc>
          <w:tcPr>
            <w:tcW w:w="8504" w:type="dxa"/>
          </w:tcPr>
          <w:p w14:paraId="1A9C2BB3" w14:textId="720651D1" w:rsidR="0008037B" w:rsidRPr="0008037B" w:rsidRDefault="0008037B" w:rsidP="00BA28BB">
            <w:pPr>
              <w:jc w:val="left"/>
            </w:pPr>
            <w:r w:rsidRPr="0008037B">
              <w:t xml:space="preserve">Sherry, N (Assistant Treasurer) 2010, </w:t>
            </w:r>
            <w:r w:rsidRPr="0008037B">
              <w:rPr>
                <w:i/>
              </w:rPr>
              <w:t>Reforms to Capital Gains Tax to Make it Easier for Businesses to Restructure,</w:t>
            </w:r>
            <w:r w:rsidRPr="0008037B">
              <w:t xml:space="preserve"> media release No. 90, 11 May, Canberra.</w:t>
            </w:r>
          </w:p>
        </w:tc>
      </w:tr>
      <w:tr w:rsidR="0008037B" w:rsidRPr="0008037B" w14:paraId="30DC0470" w14:textId="77777777" w:rsidTr="0008037B">
        <w:tc>
          <w:tcPr>
            <w:tcW w:w="1134" w:type="dxa"/>
          </w:tcPr>
          <w:p w14:paraId="1332CA18" w14:textId="42ADEF53" w:rsidR="0008037B" w:rsidRPr="0008037B" w:rsidRDefault="0008037B" w:rsidP="00BA28BB">
            <w:pPr>
              <w:jc w:val="center"/>
            </w:pPr>
            <w:r w:rsidRPr="0008037B">
              <w:t>124-K</w:t>
            </w:r>
          </w:p>
        </w:tc>
        <w:tc>
          <w:tcPr>
            <w:tcW w:w="8504" w:type="dxa"/>
          </w:tcPr>
          <w:p w14:paraId="1C8B8E3A" w14:textId="207F9611" w:rsidR="0008037B" w:rsidRPr="0008037B" w:rsidRDefault="0008037B" w:rsidP="00BA28BB">
            <w:pPr>
              <w:jc w:val="left"/>
            </w:pPr>
            <w:r w:rsidRPr="0008037B">
              <w:t xml:space="preserve">Second reading speech – Commonwealth, </w:t>
            </w:r>
            <w:r w:rsidRPr="0008037B">
              <w:rPr>
                <w:i/>
              </w:rPr>
              <w:t xml:space="preserve">Parliamentary Debates, </w:t>
            </w:r>
            <w:r w:rsidRPr="0008037B">
              <w:t xml:space="preserve">Senate, 12 May 1993, 455 (John Faulkner, Manager of Government Business in the Senate); Commonwealth, </w:t>
            </w:r>
            <w:r w:rsidRPr="0008037B">
              <w:rPr>
                <w:i/>
              </w:rPr>
              <w:t>Parliamentary Debates,</w:t>
            </w:r>
            <w:r w:rsidRPr="0008037B">
              <w:t xml:space="preserve"> House of Representatives, 26 May 1992, 2765 (Peter Jeremy, Minister for Higher Education and Employment Services and Minister Assisting the Treasurer). </w:t>
            </w:r>
          </w:p>
        </w:tc>
      </w:tr>
      <w:tr w:rsidR="0008037B" w:rsidRPr="0008037B" w14:paraId="21483A5E" w14:textId="77777777" w:rsidTr="0008037B">
        <w:tc>
          <w:tcPr>
            <w:tcW w:w="1134" w:type="dxa"/>
          </w:tcPr>
          <w:p w14:paraId="531F3D2D" w14:textId="25C3168D" w:rsidR="0008037B" w:rsidRPr="0008037B" w:rsidRDefault="0008037B" w:rsidP="00BA28BB">
            <w:pPr>
              <w:jc w:val="center"/>
            </w:pPr>
            <w:r w:rsidRPr="0008037B">
              <w:t>124-J</w:t>
            </w:r>
          </w:p>
        </w:tc>
        <w:tc>
          <w:tcPr>
            <w:tcW w:w="8504" w:type="dxa"/>
          </w:tcPr>
          <w:p w14:paraId="03A30D77" w14:textId="29CD995D" w:rsidR="0008037B" w:rsidRPr="0008037B" w:rsidRDefault="0008037B" w:rsidP="00BA28BB">
            <w:pPr>
              <w:jc w:val="left"/>
            </w:pPr>
            <w:r w:rsidRPr="0008037B">
              <w:t xml:space="preserve">Keating, P (Treasurer) 1988, </w:t>
            </w:r>
            <w:r w:rsidRPr="0008037B">
              <w:rPr>
                <w:i/>
              </w:rPr>
              <w:t>Statement by the Treasurer, Capital Gains Tax: Further Rollover Relief</w:t>
            </w:r>
            <w:r w:rsidRPr="0008037B">
              <w:t>, media release No.9, 28 January, Canberra.</w:t>
            </w:r>
          </w:p>
        </w:tc>
      </w:tr>
      <w:tr w:rsidR="0008037B" w:rsidRPr="0008037B" w14:paraId="28293BB4" w14:textId="77777777" w:rsidTr="0008037B">
        <w:tc>
          <w:tcPr>
            <w:tcW w:w="1134" w:type="dxa"/>
          </w:tcPr>
          <w:p w14:paraId="1C296C7D" w14:textId="4844D911" w:rsidR="0008037B" w:rsidRPr="0008037B" w:rsidRDefault="0008037B" w:rsidP="00BA28BB">
            <w:pPr>
              <w:jc w:val="center"/>
            </w:pPr>
            <w:r w:rsidRPr="0008037B">
              <w:t>124-L</w:t>
            </w:r>
          </w:p>
        </w:tc>
        <w:tc>
          <w:tcPr>
            <w:tcW w:w="8504" w:type="dxa"/>
          </w:tcPr>
          <w:p w14:paraId="6AF3DB19" w14:textId="5CB8B945" w:rsidR="0008037B" w:rsidRPr="0008037B" w:rsidRDefault="0008037B" w:rsidP="00BA28BB">
            <w:pPr>
              <w:jc w:val="left"/>
            </w:pPr>
            <w:r w:rsidRPr="0008037B">
              <w:t xml:space="preserve">Keating, P (Treasurer) 1988, </w:t>
            </w:r>
            <w:r w:rsidRPr="0008037B">
              <w:rPr>
                <w:i/>
              </w:rPr>
              <w:t>Statement by the Treasurer, Capital Gains Tax: Further Rollover Relief</w:t>
            </w:r>
            <w:r w:rsidRPr="0008037B">
              <w:t>, media release No.9, 28 January, Canberra.</w:t>
            </w:r>
          </w:p>
        </w:tc>
      </w:tr>
      <w:tr w:rsidR="0008037B" w:rsidRPr="0008037B" w14:paraId="5E52342D" w14:textId="77777777" w:rsidTr="0008037B">
        <w:tc>
          <w:tcPr>
            <w:tcW w:w="1134" w:type="dxa"/>
          </w:tcPr>
          <w:p w14:paraId="12EE5032" w14:textId="144843B6" w:rsidR="0008037B" w:rsidRPr="0008037B" w:rsidRDefault="0008037B" w:rsidP="00BA28BB">
            <w:pPr>
              <w:jc w:val="center"/>
            </w:pPr>
            <w:r w:rsidRPr="0008037B">
              <w:t>124-M</w:t>
            </w:r>
          </w:p>
        </w:tc>
        <w:tc>
          <w:tcPr>
            <w:tcW w:w="8504" w:type="dxa"/>
          </w:tcPr>
          <w:p w14:paraId="50E43857" w14:textId="3AFC8B2C" w:rsidR="0008037B" w:rsidRPr="0008037B" w:rsidRDefault="0008037B" w:rsidP="00BA28BB">
            <w:pPr>
              <w:jc w:val="left"/>
            </w:pPr>
            <w:r w:rsidRPr="0008037B">
              <w:t xml:space="preserve">Costello, P (Treasurer) 1999, </w:t>
            </w:r>
            <w:r w:rsidRPr="0008037B">
              <w:rPr>
                <w:i/>
              </w:rPr>
              <w:t>The New Business Tax System</w:t>
            </w:r>
            <w:r w:rsidRPr="0008037B">
              <w:t xml:space="preserve"> – Attachment G, media release No. 58, 21 September, Canberra.</w:t>
            </w:r>
          </w:p>
        </w:tc>
      </w:tr>
      <w:tr w:rsidR="0008037B" w:rsidRPr="0008037B" w14:paraId="65A843FC" w14:textId="77777777" w:rsidTr="0008037B">
        <w:tc>
          <w:tcPr>
            <w:tcW w:w="1134" w:type="dxa"/>
          </w:tcPr>
          <w:p w14:paraId="423196E7" w14:textId="335A4B20" w:rsidR="0008037B" w:rsidRPr="0008037B" w:rsidRDefault="0008037B" w:rsidP="00BA28BB">
            <w:pPr>
              <w:jc w:val="center"/>
            </w:pPr>
            <w:r w:rsidRPr="0008037B">
              <w:t>124-N</w:t>
            </w:r>
          </w:p>
        </w:tc>
        <w:tc>
          <w:tcPr>
            <w:tcW w:w="8504" w:type="dxa"/>
          </w:tcPr>
          <w:p w14:paraId="12A882A2" w14:textId="3F617AB8" w:rsidR="0008037B" w:rsidRPr="0008037B" w:rsidRDefault="0008037B" w:rsidP="00BA28BB">
            <w:pPr>
              <w:jc w:val="left"/>
            </w:pPr>
            <w:r w:rsidRPr="0008037B">
              <w:t xml:space="preserve">Costello, P (Treasurer) 2001, </w:t>
            </w:r>
            <w:r w:rsidRPr="0008037B">
              <w:rPr>
                <w:i/>
              </w:rPr>
              <w:t>Capital Gains Tax – Rollover of Assets from Trusts to Companies,</w:t>
            </w:r>
            <w:r w:rsidRPr="0008037B">
              <w:t xml:space="preserve"> media release No. 77, 5 October 2001. See also Costello, P (Treasurer) 1999, </w:t>
            </w:r>
            <w:r w:rsidRPr="0008037B">
              <w:rPr>
                <w:i/>
              </w:rPr>
              <w:t>The New Business Tax System</w:t>
            </w:r>
            <w:r w:rsidRPr="0008037B">
              <w:t xml:space="preserve"> – Attachment K, media release No. 58, 21 September, Canberra and the Explanatory Memorandum to the Taxation Laws Amendment Bill (No. 4) 2002, 29-30. </w:t>
            </w:r>
          </w:p>
        </w:tc>
      </w:tr>
      <w:tr w:rsidR="0008037B" w:rsidRPr="0008037B" w14:paraId="0BB019FB" w14:textId="77777777" w:rsidTr="0008037B">
        <w:tc>
          <w:tcPr>
            <w:tcW w:w="1134" w:type="dxa"/>
          </w:tcPr>
          <w:p w14:paraId="71FFC826" w14:textId="2A00D255" w:rsidR="0008037B" w:rsidRPr="0008037B" w:rsidRDefault="0008037B" w:rsidP="00BA28BB">
            <w:pPr>
              <w:jc w:val="center"/>
            </w:pPr>
            <w:r w:rsidRPr="0008037B">
              <w:t>124-P</w:t>
            </w:r>
          </w:p>
        </w:tc>
        <w:tc>
          <w:tcPr>
            <w:tcW w:w="8504" w:type="dxa"/>
          </w:tcPr>
          <w:p w14:paraId="0345112A" w14:textId="6AF8885A" w:rsidR="0008037B" w:rsidRPr="0008037B" w:rsidRDefault="0008037B" w:rsidP="00BA28BB">
            <w:pPr>
              <w:jc w:val="left"/>
            </w:pPr>
            <w:r w:rsidRPr="0008037B">
              <w:t xml:space="preserve">Dutton, P (Minister for Revenue and the Assistant Treasurer) 2007, </w:t>
            </w:r>
            <w:r w:rsidRPr="0008037B">
              <w:rPr>
                <w:i/>
              </w:rPr>
              <w:t>Amendments to the Capital Gains Tax Scrip for Scrip Roll-over</w:t>
            </w:r>
            <w:r w:rsidRPr="0008037B">
              <w:t xml:space="preserve">, media release No. 11, 14 February. </w:t>
            </w:r>
          </w:p>
        </w:tc>
      </w:tr>
      <w:tr w:rsidR="0008037B" w:rsidRPr="0008037B" w14:paraId="4984BE64" w14:textId="77777777" w:rsidTr="0008037B">
        <w:tc>
          <w:tcPr>
            <w:tcW w:w="1134" w:type="dxa"/>
          </w:tcPr>
          <w:p w14:paraId="2CCFAD6B" w14:textId="7C91DA32" w:rsidR="0008037B" w:rsidRPr="0008037B" w:rsidRDefault="0008037B" w:rsidP="00BA28BB">
            <w:pPr>
              <w:jc w:val="center"/>
            </w:pPr>
            <w:r w:rsidRPr="0008037B">
              <w:t>124-Q</w:t>
            </w:r>
          </w:p>
        </w:tc>
        <w:tc>
          <w:tcPr>
            <w:tcW w:w="8504" w:type="dxa"/>
          </w:tcPr>
          <w:p w14:paraId="7DE15B9E" w14:textId="00A2191C" w:rsidR="0008037B" w:rsidRPr="0008037B" w:rsidRDefault="0008037B" w:rsidP="00BA28BB">
            <w:pPr>
              <w:jc w:val="left"/>
            </w:pPr>
            <w:r w:rsidRPr="0008037B">
              <w:t xml:space="preserve">Dutton, P (Minister for Revenue and the Assistant Treasurer) 2007, </w:t>
            </w:r>
            <w:r w:rsidRPr="0008037B">
              <w:rPr>
                <w:i/>
              </w:rPr>
              <w:t>Tax Changes to Enhance International Competitiveness of Australian Property Trusts</w:t>
            </w:r>
            <w:r w:rsidRPr="0008037B">
              <w:t xml:space="preserve">, media release No. 31, 4 April. </w:t>
            </w:r>
          </w:p>
        </w:tc>
      </w:tr>
      <w:tr w:rsidR="0008037B" w:rsidRPr="0008037B" w14:paraId="10033FDA" w14:textId="77777777" w:rsidTr="0008037B">
        <w:tc>
          <w:tcPr>
            <w:tcW w:w="1134" w:type="dxa"/>
          </w:tcPr>
          <w:p w14:paraId="32D34042" w14:textId="026CAFC5" w:rsidR="0008037B" w:rsidRPr="0008037B" w:rsidRDefault="0008037B" w:rsidP="00BA28BB">
            <w:pPr>
              <w:jc w:val="center"/>
            </w:pPr>
            <w:r w:rsidRPr="0008037B">
              <w:lastRenderedPageBreak/>
              <w:t>124-R</w:t>
            </w:r>
          </w:p>
        </w:tc>
        <w:tc>
          <w:tcPr>
            <w:tcW w:w="8504" w:type="dxa"/>
          </w:tcPr>
          <w:p w14:paraId="0488D295" w14:textId="4E14FF9D" w:rsidR="0008037B" w:rsidRPr="0008037B" w:rsidRDefault="0008037B" w:rsidP="00BA28BB">
            <w:pPr>
              <w:jc w:val="left"/>
            </w:pPr>
            <w:r w:rsidRPr="0008037B">
              <w:t xml:space="preserve">Sherry, N (Assistant Treasurer) and Wong, P (Minister for Climate Change and Water) 2009, </w:t>
            </w:r>
            <w:r w:rsidRPr="0008037B">
              <w:rPr>
                <w:i/>
              </w:rPr>
              <w:t>Capital Gains Tax Relief Widened to Assist Irrigators and Operators</w:t>
            </w:r>
            <w:r w:rsidRPr="0008037B">
              <w:t>, joint media release No. 102, 2 December, Canberra.</w:t>
            </w:r>
          </w:p>
        </w:tc>
      </w:tr>
      <w:tr w:rsidR="0008037B" w:rsidRPr="0008037B" w14:paraId="2E24067D" w14:textId="77777777" w:rsidTr="0008037B">
        <w:tc>
          <w:tcPr>
            <w:tcW w:w="1134" w:type="dxa"/>
          </w:tcPr>
          <w:p w14:paraId="61418974" w14:textId="1E9FD8EF" w:rsidR="0008037B" w:rsidRPr="0008037B" w:rsidRDefault="0008037B" w:rsidP="00BA28BB">
            <w:pPr>
              <w:jc w:val="center"/>
            </w:pPr>
            <w:r w:rsidRPr="0008037B">
              <w:t>124-S</w:t>
            </w:r>
          </w:p>
        </w:tc>
        <w:tc>
          <w:tcPr>
            <w:tcW w:w="8504" w:type="dxa"/>
          </w:tcPr>
          <w:p w14:paraId="67B537A1" w14:textId="0224B402" w:rsidR="0008037B" w:rsidRPr="0008037B" w:rsidRDefault="0008037B" w:rsidP="00BA28BB">
            <w:pPr>
              <w:jc w:val="left"/>
            </w:pPr>
            <w:r w:rsidRPr="0008037B">
              <w:t xml:space="preserve">Australian Government (2014), </w:t>
            </w:r>
            <w:r w:rsidRPr="0008037B">
              <w:rPr>
                <w:i/>
              </w:rPr>
              <w:t>Budget 2014-15 – Budget Measures, Budget Paper No.2</w:t>
            </w:r>
            <w:r w:rsidRPr="0008037B">
              <w:t>, 13 May 2014, Canberra.</w:t>
            </w:r>
          </w:p>
        </w:tc>
      </w:tr>
      <w:tr w:rsidR="0008037B" w:rsidRPr="0008037B" w14:paraId="65C50BD9" w14:textId="77777777" w:rsidTr="0008037B">
        <w:tc>
          <w:tcPr>
            <w:tcW w:w="1134" w:type="dxa"/>
          </w:tcPr>
          <w:p w14:paraId="197ABF4B" w14:textId="7551FD6C" w:rsidR="0008037B" w:rsidRPr="0008037B" w:rsidRDefault="0008037B" w:rsidP="00BA28BB">
            <w:pPr>
              <w:jc w:val="center"/>
            </w:pPr>
            <w:r w:rsidRPr="0008037B">
              <w:t>125</w:t>
            </w:r>
          </w:p>
        </w:tc>
        <w:tc>
          <w:tcPr>
            <w:tcW w:w="8504" w:type="dxa"/>
          </w:tcPr>
          <w:p w14:paraId="6C0A64AC" w14:textId="6D7DD501" w:rsidR="0008037B" w:rsidRPr="0008037B" w:rsidRDefault="0008037B" w:rsidP="00BA28BB">
            <w:pPr>
              <w:jc w:val="left"/>
            </w:pPr>
            <w:r w:rsidRPr="0008037B">
              <w:t xml:space="preserve">Coonan, H (Minister for Revenue and Assistant Treasurer) 2002, </w:t>
            </w:r>
            <w:r w:rsidRPr="0008037B">
              <w:rPr>
                <w:i/>
              </w:rPr>
              <w:t>Tax Relief for Demergers</w:t>
            </w:r>
            <w:r w:rsidRPr="0008037B">
              <w:t xml:space="preserve">, media release No. 40, 6 May; Coonan, H (Minister for Revenue and Assistant Treasurer) 2002, </w:t>
            </w:r>
            <w:r w:rsidRPr="0008037B">
              <w:rPr>
                <w:i/>
              </w:rPr>
              <w:t>Business Demergers can Proceed with Confidence</w:t>
            </w:r>
            <w:r w:rsidRPr="0008037B">
              <w:t xml:space="preserve">, media release No. 112, 21 October; Second reading speech – Commonwealth, </w:t>
            </w:r>
            <w:r w:rsidRPr="0008037B">
              <w:rPr>
                <w:i/>
              </w:rPr>
              <w:t>Parliamentary Debates</w:t>
            </w:r>
            <w:r w:rsidRPr="0008037B">
              <w:t xml:space="preserve">, House of Representatives, 27 June 2002, 4543 (Peter Slipper, Parliamentary Secretary to the Minister for Finance and Administration). </w:t>
            </w:r>
          </w:p>
        </w:tc>
      </w:tr>
      <w:tr w:rsidR="0008037B" w:rsidRPr="0008037B" w14:paraId="51276A94" w14:textId="77777777" w:rsidTr="0008037B">
        <w:tc>
          <w:tcPr>
            <w:tcW w:w="1134" w:type="dxa"/>
          </w:tcPr>
          <w:p w14:paraId="5DD328A5" w14:textId="65741CB5" w:rsidR="0008037B" w:rsidRPr="0008037B" w:rsidRDefault="0008037B" w:rsidP="00BA28BB">
            <w:pPr>
              <w:jc w:val="center"/>
            </w:pPr>
            <w:r w:rsidRPr="0008037B">
              <w:t>126-A</w:t>
            </w:r>
          </w:p>
        </w:tc>
        <w:tc>
          <w:tcPr>
            <w:tcW w:w="8504" w:type="dxa"/>
          </w:tcPr>
          <w:p w14:paraId="53647D4A" w14:textId="1A620271" w:rsidR="0008037B" w:rsidRPr="0008037B" w:rsidRDefault="0008037B" w:rsidP="00BA28BB">
            <w:pPr>
              <w:jc w:val="left"/>
            </w:pPr>
            <w:r w:rsidRPr="0008037B">
              <w:t xml:space="preserve">Keating, P (Treasurer) 1986, </w:t>
            </w:r>
            <w:r w:rsidRPr="0008037B">
              <w:rPr>
                <w:i/>
              </w:rPr>
              <w:t>Capital Gains Tax: Further Information</w:t>
            </w:r>
            <w:r w:rsidRPr="0008037B">
              <w:t xml:space="preserve">, media release No. 24, 20 March, Canberra. </w:t>
            </w:r>
          </w:p>
        </w:tc>
      </w:tr>
      <w:tr w:rsidR="0008037B" w:rsidRPr="0008037B" w14:paraId="14E1A588" w14:textId="77777777" w:rsidTr="0008037B">
        <w:tc>
          <w:tcPr>
            <w:tcW w:w="1134" w:type="dxa"/>
          </w:tcPr>
          <w:p w14:paraId="76C63DBB" w14:textId="327E2AFD" w:rsidR="0008037B" w:rsidRPr="0008037B" w:rsidRDefault="0008037B" w:rsidP="00BA28BB">
            <w:pPr>
              <w:jc w:val="center"/>
            </w:pPr>
            <w:r w:rsidRPr="0008037B">
              <w:t>126-C</w:t>
            </w:r>
          </w:p>
        </w:tc>
        <w:tc>
          <w:tcPr>
            <w:tcW w:w="8504" w:type="dxa"/>
          </w:tcPr>
          <w:p w14:paraId="7030A2C7" w14:textId="22929DFC" w:rsidR="0008037B" w:rsidRPr="0008037B" w:rsidRDefault="0008037B" w:rsidP="00BA28BB">
            <w:pPr>
              <w:jc w:val="left"/>
            </w:pPr>
            <w:r w:rsidRPr="0008037B">
              <w:t xml:space="preserve">Second reading speech – Commonwealth, </w:t>
            </w:r>
            <w:r w:rsidRPr="0008037B">
              <w:rPr>
                <w:i/>
              </w:rPr>
              <w:t xml:space="preserve">Parliamentary Debates, </w:t>
            </w:r>
            <w:r w:rsidRPr="0008037B">
              <w:t xml:space="preserve">Senate, (Nicholas Bolkus, Minister for Immigration and Ethnic Affairs and Minister Assisting the Prime Minister for Multicultural Affairs). </w:t>
            </w:r>
          </w:p>
        </w:tc>
      </w:tr>
      <w:tr w:rsidR="0008037B" w:rsidRPr="0008037B" w14:paraId="7591077F" w14:textId="77777777" w:rsidTr="0008037B">
        <w:tc>
          <w:tcPr>
            <w:tcW w:w="1134" w:type="dxa"/>
          </w:tcPr>
          <w:p w14:paraId="6507795B" w14:textId="2D440095" w:rsidR="0008037B" w:rsidRPr="0008037B" w:rsidRDefault="0008037B" w:rsidP="00BA28BB">
            <w:pPr>
              <w:jc w:val="center"/>
            </w:pPr>
            <w:r w:rsidRPr="0008037B">
              <w:t>126-D</w:t>
            </w:r>
          </w:p>
        </w:tc>
        <w:tc>
          <w:tcPr>
            <w:tcW w:w="8504" w:type="dxa"/>
          </w:tcPr>
          <w:p w14:paraId="2F9801FD" w14:textId="19BA8C34" w:rsidR="0008037B" w:rsidRPr="0008037B" w:rsidRDefault="0008037B" w:rsidP="00BA28BB">
            <w:pPr>
              <w:jc w:val="left"/>
            </w:pPr>
            <w:r w:rsidRPr="0008037B">
              <w:t xml:space="preserve">Second reading speech – Commonwealth, </w:t>
            </w:r>
            <w:r w:rsidRPr="0008037B">
              <w:rPr>
                <w:i/>
              </w:rPr>
              <w:t xml:space="preserve">Parliamentary Debates, </w:t>
            </w:r>
            <w:r w:rsidRPr="0008037B">
              <w:t xml:space="preserve">House of Representatives, 27 June 2001, 28643, (Daryl Williams, Attorney-General). </w:t>
            </w:r>
          </w:p>
        </w:tc>
      </w:tr>
      <w:tr w:rsidR="0008037B" w:rsidRPr="0008037B" w14:paraId="4E839E8B" w14:textId="77777777" w:rsidTr="0008037B">
        <w:tc>
          <w:tcPr>
            <w:tcW w:w="1134" w:type="dxa"/>
          </w:tcPr>
          <w:p w14:paraId="3127C84D" w14:textId="24D71159" w:rsidR="0008037B" w:rsidRPr="0008037B" w:rsidRDefault="0008037B" w:rsidP="00BA28BB">
            <w:pPr>
              <w:jc w:val="center"/>
            </w:pPr>
            <w:r w:rsidRPr="0008037B">
              <w:t>126-E</w:t>
            </w:r>
          </w:p>
        </w:tc>
        <w:tc>
          <w:tcPr>
            <w:tcW w:w="8504" w:type="dxa"/>
          </w:tcPr>
          <w:p w14:paraId="57D98301" w14:textId="5428B081" w:rsidR="0008037B" w:rsidRPr="0008037B" w:rsidRDefault="0008037B" w:rsidP="00BA28BB">
            <w:pPr>
              <w:jc w:val="left"/>
            </w:pPr>
            <w:r w:rsidRPr="0008037B">
              <w:t xml:space="preserve">Kemp, R (Assistant Treasurer) 2001, </w:t>
            </w:r>
            <w:r w:rsidRPr="0008037B">
              <w:rPr>
                <w:i/>
              </w:rPr>
              <w:t>Capital Gains Tax: Roll-over relief for Demutualisations</w:t>
            </w:r>
            <w:r w:rsidRPr="0008037B">
              <w:t>, media release No. 9, 21 March, Canberra.</w:t>
            </w:r>
          </w:p>
        </w:tc>
      </w:tr>
      <w:tr w:rsidR="0008037B" w:rsidRPr="0008037B" w14:paraId="2C8831FD" w14:textId="77777777" w:rsidTr="0008037B">
        <w:tc>
          <w:tcPr>
            <w:tcW w:w="1134" w:type="dxa"/>
          </w:tcPr>
          <w:p w14:paraId="3C036193" w14:textId="69C1462A" w:rsidR="0008037B" w:rsidRPr="0008037B" w:rsidRDefault="0008037B" w:rsidP="00BA28BB">
            <w:pPr>
              <w:jc w:val="center"/>
            </w:pPr>
            <w:r w:rsidRPr="0008037B">
              <w:t>126-G</w:t>
            </w:r>
          </w:p>
        </w:tc>
        <w:tc>
          <w:tcPr>
            <w:tcW w:w="8504" w:type="dxa"/>
          </w:tcPr>
          <w:p w14:paraId="2A662AE4" w14:textId="236EB442" w:rsidR="0008037B" w:rsidRPr="0008037B" w:rsidRDefault="0008037B" w:rsidP="00BA28BB">
            <w:pPr>
              <w:jc w:val="left"/>
            </w:pPr>
            <w:r w:rsidRPr="0008037B">
              <w:t xml:space="preserve">Sherry, N (Assistant Treasurer) 2009, </w:t>
            </w:r>
            <w:r w:rsidRPr="0008037B">
              <w:rPr>
                <w:i/>
              </w:rPr>
              <w:t>Legislation to Boost Integrity By Abolishing the ‘Trust Cloning’ Exception,</w:t>
            </w:r>
            <w:r w:rsidRPr="0008037B">
              <w:t xml:space="preserve"> media release No. 40, 9 September, Canberra; Second reading speech - Commonwealth, </w:t>
            </w:r>
            <w:r w:rsidRPr="0008037B">
              <w:rPr>
                <w:i/>
              </w:rPr>
              <w:t xml:space="preserve">Parliamentary Debates, </w:t>
            </w:r>
            <w:r w:rsidRPr="0008037B">
              <w:t xml:space="preserve">House of Representatives, 25 November 2009, 12776 (Craig Emerson, Minister for Small Business, Independent Contractors and the Service Economy, Minister Assisting the Finance Minister on Deregulation and Minister for Competition Policy and Consumer Affairs). </w:t>
            </w:r>
          </w:p>
        </w:tc>
      </w:tr>
      <w:tr w:rsidR="0008037B" w:rsidRPr="0008037B" w14:paraId="15AB1E51" w14:textId="77777777" w:rsidTr="0008037B">
        <w:tc>
          <w:tcPr>
            <w:tcW w:w="1134" w:type="dxa"/>
          </w:tcPr>
          <w:p w14:paraId="56241577" w14:textId="36ADBA5C" w:rsidR="0008037B" w:rsidRPr="0008037B" w:rsidRDefault="0008037B" w:rsidP="00BA28BB">
            <w:pPr>
              <w:jc w:val="center"/>
            </w:pPr>
            <w:r w:rsidRPr="0008037B">
              <w:t>152-E</w:t>
            </w:r>
          </w:p>
        </w:tc>
        <w:tc>
          <w:tcPr>
            <w:tcW w:w="8504" w:type="dxa"/>
          </w:tcPr>
          <w:p w14:paraId="7FF2837C" w14:textId="47F0B837" w:rsidR="0008037B" w:rsidRPr="0008037B" w:rsidRDefault="0008037B" w:rsidP="00BA28BB">
            <w:pPr>
              <w:jc w:val="left"/>
            </w:pPr>
            <w:r w:rsidRPr="0008037B">
              <w:t>Explanatory Memorandum to the Taxation Laws Amendment Bill (No.1) 1997, paragraph 7.5.</w:t>
            </w:r>
          </w:p>
        </w:tc>
      </w:tr>
      <w:tr w:rsidR="0008037B" w:rsidRPr="0008037B" w14:paraId="5D7F7B54" w14:textId="77777777" w:rsidTr="0008037B">
        <w:tc>
          <w:tcPr>
            <w:tcW w:w="1134" w:type="dxa"/>
          </w:tcPr>
          <w:p w14:paraId="2EE8EF7E" w14:textId="41D333FD" w:rsidR="0008037B" w:rsidRPr="0008037B" w:rsidRDefault="0008037B" w:rsidP="00BA28BB">
            <w:pPr>
              <w:jc w:val="center"/>
            </w:pPr>
            <w:r w:rsidRPr="0008037B">
              <w:t>310</w:t>
            </w:r>
          </w:p>
        </w:tc>
        <w:tc>
          <w:tcPr>
            <w:tcW w:w="8504" w:type="dxa"/>
          </w:tcPr>
          <w:p w14:paraId="60B6BD0D" w14:textId="13F99D87" w:rsidR="0008037B" w:rsidRPr="0008037B" w:rsidRDefault="0008037B" w:rsidP="00BA28BB">
            <w:pPr>
              <w:jc w:val="left"/>
            </w:pPr>
            <w:r w:rsidRPr="0008037B">
              <w:t xml:space="preserve">Australian Government (2019), </w:t>
            </w:r>
            <w:r w:rsidRPr="0008037B">
              <w:rPr>
                <w:i/>
              </w:rPr>
              <w:t xml:space="preserve">Budget 2019-20 – Budget Measures, Budget Paper No.2, </w:t>
            </w:r>
            <w:r w:rsidRPr="0008037B">
              <w:t>2 April 2019, Canberra.</w:t>
            </w:r>
          </w:p>
        </w:tc>
      </w:tr>
      <w:tr w:rsidR="0008037B" w:rsidRPr="0008037B" w14:paraId="0A510485" w14:textId="77777777" w:rsidTr="0008037B">
        <w:tc>
          <w:tcPr>
            <w:tcW w:w="1134" w:type="dxa"/>
          </w:tcPr>
          <w:p w14:paraId="0E65FCDF" w14:textId="5E7E3F35" w:rsidR="0008037B" w:rsidRPr="0008037B" w:rsidRDefault="0008037B" w:rsidP="00BA28BB">
            <w:pPr>
              <w:jc w:val="center"/>
            </w:pPr>
            <w:r w:rsidRPr="0008037B">
              <w:t>328-G</w:t>
            </w:r>
          </w:p>
        </w:tc>
        <w:tc>
          <w:tcPr>
            <w:tcW w:w="8504" w:type="dxa"/>
          </w:tcPr>
          <w:p w14:paraId="7EAB3D06" w14:textId="7496158C" w:rsidR="0008037B" w:rsidRPr="0008037B" w:rsidRDefault="0008037B" w:rsidP="00BA28BB">
            <w:pPr>
              <w:jc w:val="left"/>
            </w:pPr>
            <w:r w:rsidRPr="0008037B">
              <w:t xml:space="preserve">Australian Government (2015), </w:t>
            </w:r>
            <w:r w:rsidRPr="0008037B">
              <w:rPr>
                <w:i/>
              </w:rPr>
              <w:t xml:space="preserve">Budget 2015-16 – Budget Measures, Budget Paper No.2, </w:t>
            </w:r>
            <w:r w:rsidRPr="0008037B">
              <w:t xml:space="preserve">12 May 2015, Canberra; Second reading speech – Commonwealth, </w:t>
            </w:r>
            <w:r w:rsidRPr="0008037B">
              <w:rPr>
                <w:i/>
              </w:rPr>
              <w:t xml:space="preserve">Parliamentary Debates, </w:t>
            </w:r>
            <w:r w:rsidRPr="0008037B">
              <w:t xml:space="preserve">House of Representatives, 4 February 2016, 491 (Alex Hawke, Assistant Minister to the Treasurer). </w:t>
            </w:r>
          </w:p>
        </w:tc>
      </w:tr>
      <w:tr w:rsidR="0008037B" w:rsidRPr="0008037B" w14:paraId="3616C06A" w14:textId="77777777" w:rsidTr="0008037B">
        <w:tc>
          <w:tcPr>
            <w:tcW w:w="1134" w:type="dxa"/>
          </w:tcPr>
          <w:p w14:paraId="4172507C" w14:textId="2C4BCD57" w:rsidR="0008037B" w:rsidRPr="0008037B" w:rsidRDefault="0008037B" w:rsidP="00BA28BB">
            <w:pPr>
              <w:jc w:val="center"/>
            </w:pPr>
            <w:r w:rsidRPr="0008037B">
              <w:t>615</w:t>
            </w:r>
          </w:p>
        </w:tc>
        <w:tc>
          <w:tcPr>
            <w:tcW w:w="8504" w:type="dxa"/>
          </w:tcPr>
          <w:p w14:paraId="6127272C" w14:textId="30AFA4E4" w:rsidR="0008037B" w:rsidRPr="0008037B" w:rsidRDefault="0008037B" w:rsidP="00BA28BB">
            <w:pPr>
              <w:jc w:val="left"/>
            </w:pPr>
            <w:r w:rsidRPr="0008037B">
              <w:t>Keating, P</w:t>
            </w:r>
            <w:r w:rsidR="00BA28BB">
              <w:t xml:space="preserve"> </w:t>
            </w:r>
            <w:r w:rsidRPr="0008037B">
              <w:t xml:space="preserve">(Treasurer) 1987, </w:t>
            </w:r>
            <w:r w:rsidRPr="0008037B">
              <w:rPr>
                <w:i/>
              </w:rPr>
              <w:t>Capital Gains Tax: Further Rollover Relief</w:t>
            </w:r>
            <w:r w:rsidRPr="0008037B">
              <w:t xml:space="preserve">, media release No. 96, 29 September, Canberra; Keating, P (Treasurer) 1988, </w:t>
            </w:r>
            <w:r w:rsidRPr="0008037B">
              <w:rPr>
                <w:i/>
              </w:rPr>
              <w:t>Statement by the Treasurer, Capital Gains Tax: Further Rollover Relief</w:t>
            </w:r>
            <w:r w:rsidRPr="0008037B">
              <w:t xml:space="preserve">, media release No.9, 28 January, Canberra. </w:t>
            </w:r>
          </w:p>
        </w:tc>
      </w:tr>
      <w:tr w:rsidR="0008037B" w:rsidRPr="00121D2D" w14:paraId="3C70EF9B" w14:textId="77777777" w:rsidTr="0008037B">
        <w:tc>
          <w:tcPr>
            <w:tcW w:w="1134" w:type="dxa"/>
          </w:tcPr>
          <w:p w14:paraId="540B5CA7" w14:textId="50C106C6" w:rsidR="0008037B" w:rsidRPr="0008037B" w:rsidRDefault="0008037B" w:rsidP="00BA28BB">
            <w:pPr>
              <w:jc w:val="center"/>
            </w:pPr>
            <w:r w:rsidRPr="0008037B">
              <w:t>620-A</w:t>
            </w:r>
          </w:p>
        </w:tc>
        <w:tc>
          <w:tcPr>
            <w:tcW w:w="8504" w:type="dxa"/>
          </w:tcPr>
          <w:p w14:paraId="21E07EE6" w14:textId="72ECE915" w:rsidR="0008037B" w:rsidRPr="00121D2D" w:rsidRDefault="0008037B" w:rsidP="00BA28BB">
            <w:pPr>
              <w:jc w:val="left"/>
            </w:pPr>
            <w:r w:rsidRPr="0008037B">
              <w:t xml:space="preserve">Sherry, N (Assistant Treasurer) 2010, </w:t>
            </w:r>
            <w:r w:rsidRPr="0008037B">
              <w:rPr>
                <w:i/>
              </w:rPr>
              <w:t>Reforms to Capital Gains Tax to Make it Easier for Businesses to Restructure,</w:t>
            </w:r>
            <w:r w:rsidRPr="0008037B">
              <w:t xml:space="preserve"> media release No. 90, 11 May, Canberra.</w:t>
            </w:r>
          </w:p>
        </w:tc>
      </w:tr>
    </w:tbl>
    <w:p w14:paraId="0F8CC6EF" w14:textId="2D7E5126" w:rsidR="000F46D1" w:rsidRPr="00121D2D" w:rsidRDefault="000F46D1" w:rsidP="0008037B"/>
    <w:sectPr w:rsidR="000F46D1" w:rsidRPr="00121D2D" w:rsidSect="00616F0A">
      <w:headerReference w:type="even" r:id="rId25"/>
      <w:pgSz w:w="11906" w:h="16838" w:code="9"/>
      <w:pgMar w:top="2268" w:right="1134" w:bottom="1418" w:left="1134"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7CA4" w14:textId="77777777" w:rsidR="0008037B" w:rsidRDefault="0008037B">
      <w:pPr>
        <w:spacing w:before="0" w:after="0"/>
      </w:pPr>
      <w:r>
        <w:separator/>
      </w:r>
    </w:p>
  </w:endnote>
  <w:endnote w:type="continuationSeparator" w:id="0">
    <w:p w14:paraId="5CCC5432" w14:textId="77777777" w:rsidR="0008037B" w:rsidRDefault="0008037B">
      <w:pPr>
        <w:spacing w:before="0" w:after="0"/>
      </w:pPr>
      <w:r>
        <w:continuationSeparator/>
      </w:r>
    </w:p>
  </w:endnote>
  <w:endnote w:type="continuationNotice" w:id="1">
    <w:p w14:paraId="5DDDEB64" w14:textId="77777777" w:rsidR="0008037B" w:rsidRDefault="000803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8AA" w14:textId="01C5FE5E" w:rsidR="0008037B" w:rsidRDefault="0008037B" w:rsidP="003C24B4">
    <w:pPr>
      <w:pStyle w:val="FooterEven"/>
    </w:pPr>
    <w:r>
      <w:rPr>
        <w:noProof w:val="0"/>
      </w:rPr>
      <w:fldChar w:fldCharType="begin"/>
    </w:r>
    <w:r>
      <w:instrText xml:space="preserve"> PAGE   \* MERGEFORMAT </w:instrText>
    </w:r>
    <w:r>
      <w:rPr>
        <w:noProof w:val="0"/>
      </w:rPr>
      <w:fldChar w:fldCharType="separate"/>
    </w:r>
    <w:r>
      <w:t>2</w:t>
    </w:r>
    <w:r>
      <w:fldChar w:fldCharType="end"/>
    </w:r>
    <w:r>
      <w:t xml:space="preserve"> </w:t>
    </w:r>
    <w:r w:rsidRPr="00043A4B">
      <w:rPr>
        <w:color w:val="7F7F7F" w:themeColor="text1" w:themeTint="80"/>
      </w:rPr>
      <w:t>Consultation Guide |</w:t>
    </w:r>
    <w:r w:rsidRPr="00043A4B">
      <w:t xml:space="preserve"> Review of Small Business Tax Concessions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8AD" w14:textId="30F33C94" w:rsidR="0008037B" w:rsidRDefault="0008037B" w:rsidP="002D340B">
    <w:pPr>
      <w:pStyle w:val="Footer"/>
    </w:pPr>
    <w:r w:rsidRPr="007929CA">
      <w:rPr>
        <w:noProof/>
        <w:color w:val="7F7F7F" w:themeColor="text1" w:themeTint="80"/>
      </w:rPr>
      <mc:AlternateContent>
        <mc:Choice Requires="wps">
          <w:drawing>
            <wp:anchor distT="0" distB="0" distL="114300" distR="114300" simplePos="0" relativeHeight="251658241" behindDoc="0" locked="0" layoutInCell="1" allowOverlap="1" wp14:anchorId="6A5C98B8" wp14:editId="6A5C98B9">
              <wp:simplePos x="0" y="0"/>
              <wp:positionH relativeFrom="column">
                <wp:posOffset>467995</wp:posOffset>
              </wp:positionH>
              <wp:positionV relativeFrom="paragraph">
                <wp:posOffset>252095</wp:posOffset>
              </wp:positionV>
              <wp:extent cx="4428000" cy="412200"/>
              <wp:effectExtent l="0" t="0" r="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412200"/>
                      </a:xfrm>
                      <a:prstGeom prst="rect">
                        <a:avLst/>
                      </a:prstGeom>
                      <a:solidFill>
                        <a:srgbClr val="FFFFFF"/>
                      </a:solidFill>
                      <a:ln w="9525">
                        <a:noFill/>
                        <a:miter lim="800000"/>
                        <a:headEnd/>
                        <a:tailEnd/>
                      </a:ln>
                    </wps:spPr>
                    <wps:txbx>
                      <w:txbxContent>
                        <w:p w14:paraId="6A5C98E2" w14:textId="2F80E10A" w:rsidR="0008037B" w:rsidRDefault="0008037B" w:rsidP="002D340B">
                          <w:pPr>
                            <w:pStyle w:val="FooterEven"/>
                          </w:pPr>
                          <w:r>
                            <w:rPr>
                              <w:color w:val="7F7F7F" w:themeColor="text1" w:themeTint="80"/>
                            </w:rPr>
                            <w:t>C</w:t>
                          </w:r>
                          <w:r w:rsidRPr="00043A4B">
                            <w:rPr>
                              <w:color w:val="7F7F7F" w:themeColor="text1" w:themeTint="80"/>
                            </w:rPr>
                            <w:t>onsultation Guide |</w:t>
                          </w:r>
                          <w:r w:rsidRPr="00043A4B">
                            <w:t xml:space="preserve"> Review of </w:t>
                          </w:r>
                          <w:r>
                            <w:t>CGT roll-overs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5C98B8" id="_x0000_t202" coordsize="21600,21600" o:spt="202" path="m,l,21600r21600,l21600,xe">
              <v:stroke joinstyle="miter"/>
              <v:path gradientshapeok="t" o:connecttype="rect"/>
            </v:shapetype>
            <v:shape id="Text Box 2" o:spid="_x0000_s1031" type="#_x0000_t202" style="position:absolute;left:0;text-align:left;margin-left:36.85pt;margin-top:19.85pt;width:348.65pt;height:3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" stroked="f">
              <v:textbox>
                <w:txbxContent>
                  <w:p w14:paraId="6A5C98E2" w14:textId="2F80E10A" w:rsidR="0008037B" w:rsidRDefault="0008037B" w:rsidP="002D340B">
                    <w:pPr>
                      <w:pStyle w:val="FooterEven"/>
                    </w:pPr>
                    <w:r>
                      <w:rPr>
                        <w:color w:val="7F7F7F" w:themeColor="text1" w:themeTint="80"/>
                      </w:rPr>
                      <w:t>C</w:t>
                    </w:r>
                    <w:r w:rsidRPr="00043A4B">
                      <w:rPr>
                        <w:color w:val="7F7F7F" w:themeColor="text1" w:themeTint="80"/>
                      </w:rPr>
                      <w:t>onsultation Guide |</w:t>
                    </w:r>
                    <w:r w:rsidRPr="00043A4B">
                      <w:t xml:space="preserve"> Review of </w:t>
                    </w:r>
                    <w:r>
                      <w:t>CGT roll-overs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A5C98BA" wp14:editId="6A5C98BB">
              <wp:simplePos x="0" y="0"/>
              <wp:positionH relativeFrom="column">
                <wp:posOffset>0</wp:posOffset>
              </wp:positionH>
              <wp:positionV relativeFrom="paragraph">
                <wp:posOffset>252095</wp:posOffset>
              </wp:positionV>
              <wp:extent cx="431280" cy="431280"/>
              <wp:effectExtent l="0" t="0" r="698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 cy="431280"/>
                      </a:xfrm>
                      <a:prstGeom prst="rect">
                        <a:avLst/>
                      </a:prstGeom>
                      <a:solidFill>
                        <a:srgbClr val="002060"/>
                      </a:solidFill>
                      <a:ln w="9525">
                        <a:noFill/>
                        <a:miter lim="800000"/>
                        <a:headEnd/>
                        <a:tailEnd/>
                      </a:ln>
                    </wps:spPr>
                    <wps:txbx>
                      <w:txbxContent>
                        <w:p w14:paraId="6A5C98E3" w14:textId="711F5AB7" w:rsidR="0008037B" w:rsidRPr="004B2B98" w:rsidRDefault="0008037B"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1E67B9">
                            <w:rPr>
                              <w:noProof/>
                              <w:color w:val="FFFFFF" w:themeColor="background1"/>
                              <w:szCs w:val="22"/>
                            </w:rPr>
                            <w:t>2</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5C98BA" id="_x0000_t202" coordsize="21600,21600" o:spt="202" path="m,l,21600r21600,l21600,xe">
              <v:stroke joinstyle="miter"/>
              <v:path gradientshapeok="t" o:connecttype="rect"/>
            </v:shapetype>
            <v:shape id="_x0000_s1032" type="#_x0000_t202" style="position:absolute;left:0;text-align:left;margin-left:0;margin-top:19.85pt;width:33.9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" fillcolor="#002060" stroked="f">
              <v:textbox>
                <w:txbxContent>
                  <w:p w14:paraId="6A5C98E3" w14:textId="711F5AB7" w:rsidR="0008037B" w:rsidRPr="004B2B98" w:rsidRDefault="0008037B"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1E67B9">
                      <w:rPr>
                        <w:noProof/>
                        <w:color w:val="FFFFFF" w:themeColor="background1"/>
                        <w:szCs w:val="22"/>
                      </w:rPr>
                      <w:t>2</w:t>
                    </w:r>
                    <w:r w:rsidRPr="004B2B98">
                      <w:rPr>
                        <w:noProof/>
                        <w:color w:val="FFFFFF" w:themeColor="background1"/>
                        <w:szCs w:val="22"/>
                      </w:rPr>
                      <w:fldChar w:fldCharType="end"/>
                    </w:r>
                  </w:p>
                </w:txbxContent>
              </v:textbox>
            </v:shape>
          </w:pict>
        </mc:Fallback>
      </mc:AlternateContent>
    </w:r>
    <w:r>
      <w:rPr>
        <w:noProof/>
      </w:rPr>
      <w:drawing>
        <wp:inline distT="0" distB="0" distL="0" distR="0" wp14:anchorId="6A5C98BC" wp14:editId="6A5C98BD">
          <wp:extent cx="6120130" cy="1327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C72E" w14:textId="77777777" w:rsidR="0008037B" w:rsidRDefault="0008037B" w:rsidP="00157DFC">
    <w:pPr>
      <w:pStyle w:val="Footer"/>
    </w:pPr>
    <w:r w:rsidRPr="007929CA">
      <w:rPr>
        <w:noProof/>
        <w:color w:val="7F7F7F" w:themeColor="text1" w:themeTint="80"/>
      </w:rPr>
      <mc:AlternateContent>
        <mc:Choice Requires="wps">
          <w:drawing>
            <wp:anchor distT="0" distB="0" distL="114300" distR="114300" simplePos="0" relativeHeight="251658245" behindDoc="0" locked="0" layoutInCell="1" allowOverlap="1" wp14:anchorId="08E01FE2" wp14:editId="1933D15C">
              <wp:simplePos x="0" y="0"/>
              <wp:positionH relativeFrom="column">
                <wp:posOffset>467995</wp:posOffset>
              </wp:positionH>
              <wp:positionV relativeFrom="paragraph">
                <wp:posOffset>252095</wp:posOffset>
              </wp:positionV>
              <wp:extent cx="4428000" cy="412200"/>
              <wp:effectExtent l="0" t="0" r="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412200"/>
                      </a:xfrm>
                      <a:prstGeom prst="rect">
                        <a:avLst/>
                      </a:prstGeom>
                      <a:solidFill>
                        <a:srgbClr val="FFFFFF"/>
                      </a:solidFill>
                      <a:ln w="9525">
                        <a:noFill/>
                        <a:miter lim="800000"/>
                        <a:headEnd/>
                        <a:tailEnd/>
                      </a:ln>
                    </wps:spPr>
                    <wps:txbx>
                      <w:txbxContent>
                        <w:p w14:paraId="5DEEC916" w14:textId="77777777" w:rsidR="0008037B" w:rsidRDefault="0008037B" w:rsidP="00157DFC">
                          <w:pPr>
                            <w:pStyle w:val="FooterEven"/>
                          </w:pPr>
                          <w:r>
                            <w:rPr>
                              <w:color w:val="7F7F7F" w:themeColor="text1" w:themeTint="80"/>
                            </w:rPr>
                            <w:t>C</w:t>
                          </w:r>
                          <w:r w:rsidRPr="00043A4B">
                            <w:rPr>
                              <w:color w:val="7F7F7F" w:themeColor="text1" w:themeTint="80"/>
                            </w:rPr>
                            <w:t>onsultation Guide |</w:t>
                          </w:r>
                          <w:r w:rsidRPr="00043A4B">
                            <w:t xml:space="preserve"> Review of </w:t>
                          </w:r>
                          <w:r>
                            <w:t>CGT roll-overs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01FE2" id="_x0000_t202" coordsize="21600,21600" o:spt="202" path="m,l,21600r21600,l21600,xe">
              <v:stroke joinstyle="miter"/>
              <v:path gradientshapeok="t" o:connecttype="rect"/>
            </v:shapetype>
            <v:shape id="_x0000_s1033" type="#_x0000_t202" style="position:absolute;left:0;text-align:left;margin-left:36.85pt;margin-top:19.85pt;width:348.65pt;height:3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" stroked="f">
              <v:textbox>
                <w:txbxContent>
                  <w:p w14:paraId="5DEEC916" w14:textId="77777777" w:rsidR="0008037B" w:rsidRDefault="0008037B" w:rsidP="00157DFC">
                    <w:pPr>
                      <w:pStyle w:val="FooterEven"/>
                    </w:pPr>
                    <w:r>
                      <w:rPr>
                        <w:color w:val="7F7F7F" w:themeColor="text1" w:themeTint="80"/>
                      </w:rPr>
                      <w:t>C</w:t>
                    </w:r>
                    <w:r w:rsidRPr="00043A4B">
                      <w:rPr>
                        <w:color w:val="7F7F7F" w:themeColor="text1" w:themeTint="80"/>
                      </w:rPr>
                      <w:t>onsultation Guide |</w:t>
                    </w:r>
                    <w:r w:rsidRPr="00043A4B">
                      <w:t xml:space="preserve"> Review of </w:t>
                    </w:r>
                    <w:r>
                      <w:t>CGT roll-overs</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73F368FF" wp14:editId="5C0FEFC7">
              <wp:simplePos x="0" y="0"/>
              <wp:positionH relativeFrom="column">
                <wp:posOffset>0</wp:posOffset>
              </wp:positionH>
              <wp:positionV relativeFrom="paragraph">
                <wp:posOffset>252095</wp:posOffset>
              </wp:positionV>
              <wp:extent cx="431280" cy="431280"/>
              <wp:effectExtent l="0" t="0" r="6985"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 cy="431280"/>
                      </a:xfrm>
                      <a:prstGeom prst="rect">
                        <a:avLst/>
                      </a:prstGeom>
                      <a:solidFill>
                        <a:srgbClr val="002060"/>
                      </a:solidFill>
                      <a:ln w="9525">
                        <a:noFill/>
                        <a:miter lim="800000"/>
                        <a:headEnd/>
                        <a:tailEnd/>
                      </a:ln>
                    </wps:spPr>
                    <wps:txbx>
                      <w:txbxContent>
                        <w:p w14:paraId="2CA54B34" w14:textId="28D002EA" w:rsidR="0008037B" w:rsidRPr="004B2B98" w:rsidRDefault="0008037B" w:rsidP="00157DFC">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1E67B9">
                            <w:rPr>
                              <w:noProof/>
                              <w:color w:val="FFFFFF" w:themeColor="background1"/>
                              <w:szCs w:val="22"/>
                            </w:rPr>
                            <w:t>19</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F368FF" id="_x0000_t202" coordsize="21600,21600" o:spt="202" path="m,l,21600r21600,l21600,xe">
              <v:stroke joinstyle="miter"/>
              <v:path gradientshapeok="t" o:connecttype="rect"/>
            </v:shapetype>
            <v:shape id="_x0000_s1034" type="#_x0000_t202" style="position:absolute;left:0;text-align:left;margin-left:0;margin-top:19.85pt;width:33.95pt;height:33.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" fillcolor="#002060" stroked="f">
              <v:textbox>
                <w:txbxContent>
                  <w:p w14:paraId="2CA54B34" w14:textId="28D002EA" w:rsidR="0008037B" w:rsidRPr="004B2B98" w:rsidRDefault="0008037B" w:rsidP="00157DFC">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1E67B9">
                      <w:rPr>
                        <w:noProof/>
                        <w:color w:val="FFFFFF" w:themeColor="background1"/>
                        <w:szCs w:val="22"/>
                      </w:rPr>
                      <w:t>19</w:t>
                    </w:r>
                    <w:r w:rsidRPr="004B2B98">
                      <w:rPr>
                        <w:noProof/>
                        <w:color w:val="FFFFFF" w:themeColor="background1"/>
                        <w:szCs w:val="22"/>
                      </w:rPr>
                      <w:fldChar w:fldCharType="end"/>
                    </w:r>
                  </w:p>
                </w:txbxContent>
              </v:textbox>
            </v:shape>
          </w:pict>
        </mc:Fallback>
      </mc:AlternateContent>
    </w:r>
    <w:r>
      <w:rPr>
        <w:noProof/>
      </w:rPr>
      <w:drawing>
        <wp:inline distT="0" distB="0" distL="0" distR="0" wp14:anchorId="6A6E89EB" wp14:editId="2DADFA67">
          <wp:extent cx="6120130" cy="1327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2715"/>
                  </a:xfrm>
                  <a:prstGeom prst="rect">
                    <a:avLst/>
                  </a:prstGeom>
                </pic:spPr>
              </pic:pic>
            </a:graphicData>
          </a:graphic>
        </wp:inline>
      </w:drawing>
    </w:r>
  </w:p>
  <w:p w14:paraId="6A5C98AE" w14:textId="44FC7C3A" w:rsidR="0008037B" w:rsidRPr="00827552" w:rsidRDefault="0008037B" w:rsidP="00827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8B0" w14:textId="75470262" w:rsidR="0008037B" w:rsidRPr="00827552" w:rsidRDefault="0008037B" w:rsidP="0082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3FC2" w14:textId="77777777" w:rsidR="0008037B" w:rsidRDefault="0008037B">
      <w:pPr>
        <w:spacing w:before="0" w:after="0"/>
      </w:pPr>
      <w:r>
        <w:separator/>
      </w:r>
    </w:p>
  </w:footnote>
  <w:footnote w:type="continuationSeparator" w:id="0">
    <w:p w14:paraId="2EF78342" w14:textId="77777777" w:rsidR="0008037B" w:rsidRDefault="0008037B">
      <w:pPr>
        <w:spacing w:before="0" w:after="0"/>
      </w:pPr>
      <w:r>
        <w:continuationSeparator/>
      </w:r>
    </w:p>
  </w:footnote>
  <w:footnote w:type="continuationNotice" w:id="1">
    <w:p w14:paraId="28EEC59A" w14:textId="77777777" w:rsidR="0008037B" w:rsidRDefault="0008037B">
      <w:pPr>
        <w:spacing w:before="0" w:after="0"/>
      </w:pPr>
    </w:p>
  </w:footnote>
  <w:footnote w:id="2">
    <w:p w14:paraId="41BAB00C" w14:textId="26A7F502" w:rsidR="006E3731" w:rsidRDefault="006E3731">
      <w:pPr>
        <w:pStyle w:val="FootnoteText"/>
      </w:pPr>
      <w:r>
        <w:rPr>
          <w:rStyle w:val="FootnoteReference"/>
        </w:rPr>
        <w:footnoteRef/>
      </w:r>
      <w:r>
        <w:t xml:space="preserve"> Policy references to each roll-over are provided in the Notes </w:t>
      </w:r>
      <w:r w:rsidR="00B404A0">
        <w:t xml:space="preserve">section </w:t>
      </w:r>
      <w:r>
        <w:t xml:space="preserve">on page </w:t>
      </w:r>
      <w:hyperlink w:anchor="_Notes_–_Policy" w:history="1">
        <w:r w:rsidRPr="00325204">
          <w:rPr>
            <w:rStyle w:val="Hyperlink"/>
          </w:rPr>
          <w:t>19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8AB" w14:textId="3539885A" w:rsidR="0008037B" w:rsidRPr="001F3912" w:rsidRDefault="0008037B" w:rsidP="00B37C6C">
    <w:r>
      <w:rPr>
        <w:noProof/>
      </w:rPr>
      <w:drawing>
        <wp:anchor distT="0" distB="0" distL="114300" distR="114300" simplePos="0" relativeHeight="251658242" behindDoc="1" locked="0" layoutInCell="1" allowOverlap="1" wp14:anchorId="6A5C98B3" wp14:editId="6A5C98B4">
          <wp:simplePos x="723900" y="523875"/>
          <wp:positionH relativeFrom="page">
            <wp:align>center</wp:align>
          </wp:positionH>
          <wp:positionV relativeFrom="page">
            <wp:align>top</wp:align>
          </wp:positionV>
          <wp:extent cx="7560360" cy="18122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03A0" w14:textId="082E685D" w:rsidR="0008037B" w:rsidRPr="00827552" w:rsidRDefault="0008037B" w:rsidP="00827552">
    <w:pPr>
      <w:pStyle w:val="Header"/>
    </w:pPr>
    <w:r>
      <w:rPr>
        <w:noProof/>
      </w:rPr>
      <w:drawing>
        <wp:anchor distT="0" distB="0" distL="114300" distR="114300" simplePos="0" relativeHeight="251658246" behindDoc="1" locked="0" layoutInCell="1" allowOverlap="1" wp14:anchorId="7766785F" wp14:editId="6CE7667B">
          <wp:simplePos x="0" y="0"/>
          <wp:positionH relativeFrom="margin">
            <wp:align>center</wp:align>
          </wp:positionH>
          <wp:positionV relativeFrom="page">
            <wp:align>top</wp:align>
          </wp:positionV>
          <wp:extent cx="6804025" cy="15335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4025"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8AF" w14:textId="6031E5BA" w:rsidR="0008037B" w:rsidRPr="00827552" w:rsidRDefault="0008037B" w:rsidP="008275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98B2" w14:textId="32623D56" w:rsidR="0008037B" w:rsidRPr="001F3912" w:rsidRDefault="0008037B" w:rsidP="00157DFC">
    <w:pPr>
      <w:tabs>
        <w:tab w:val="center" w:pos="4819"/>
      </w:tabs>
    </w:pPr>
    <w:r>
      <w:rPr>
        <w:noProof/>
      </w:rPr>
      <w:drawing>
        <wp:anchor distT="0" distB="0" distL="114300" distR="114300" simplePos="0" relativeHeight="251658243" behindDoc="1" locked="0" layoutInCell="1" allowOverlap="1" wp14:anchorId="6A5C98C4" wp14:editId="5B89BE80">
          <wp:simplePos x="0" y="0"/>
          <wp:positionH relativeFrom="page">
            <wp:posOffset>428625</wp:posOffset>
          </wp:positionH>
          <wp:positionV relativeFrom="page">
            <wp:align>top</wp:align>
          </wp:positionV>
          <wp:extent cx="6804025" cy="15335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4025" cy="1533525"/>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8100FD2"/>
    <w:multiLevelType w:val="hybridMultilevel"/>
    <w:tmpl w:val="1748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F4DDE"/>
    <w:multiLevelType w:val="hybridMultilevel"/>
    <w:tmpl w:val="E5C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A92595"/>
    <w:multiLevelType w:val="hybridMultilevel"/>
    <w:tmpl w:val="DE46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440D8F"/>
    <w:multiLevelType w:val="hybridMultilevel"/>
    <w:tmpl w:val="ACE8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BC31B7"/>
    <w:multiLevelType w:val="hybridMultilevel"/>
    <w:tmpl w:val="E58CAA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C2710"/>
    <w:multiLevelType w:val="multilevel"/>
    <w:tmpl w:val="0D723674"/>
    <w:styleLink w:val="BulletedList"/>
    <w:lvl w:ilvl="0">
      <w:start w:val="1"/>
      <w:numFmt w:val="bullet"/>
      <w:lvlRestart w:val="0"/>
      <w:pStyle w:val="Bullet"/>
      <w:lvlText w:val="•"/>
      <w:lvlJc w:val="left"/>
      <w:pPr>
        <w:tabs>
          <w:tab w:val="num" w:pos="1987"/>
        </w:tabs>
        <w:ind w:left="1987" w:hanging="283"/>
      </w:pPr>
      <w:rPr>
        <w:rFonts w:ascii="Times New Roman" w:hAnsi="Times New Roman" w:cs="Times New Roman" w:hint="default"/>
        <w:b w:val="0"/>
        <w:i w:val="0"/>
      </w:rPr>
    </w:lvl>
    <w:lvl w:ilvl="1">
      <w:start w:val="1"/>
      <w:numFmt w:val="bullet"/>
      <w:pStyle w:val="Dash"/>
      <w:lvlText w:val="–"/>
      <w:lvlJc w:val="left"/>
      <w:pPr>
        <w:tabs>
          <w:tab w:val="num" w:pos="2271"/>
        </w:tabs>
        <w:ind w:left="2271" w:hanging="284"/>
      </w:pPr>
      <w:rPr>
        <w:rFonts w:ascii="Times New Roman" w:hAnsi="Times New Roman" w:cs="Times New Roman" w:hint="default"/>
        <w:b w:val="0"/>
        <w:i w:val="0"/>
      </w:rPr>
    </w:lvl>
    <w:lvl w:ilvl="2">
      <w:start w:val="1"/>
      <w:numFmt w:val="bullet"/>
      <w:pStyle w:val="DoubleDot"/>
      <w:lvlText w:val=":"/>
      <w:lvlJc w:val="left"/>
      <w:pPr>
        <w:tabs>
          <w:tab w:val="num" w:pos="2554"/>
        </w:tabs>
        <w:ind w:left="2554" w:hanging="283"/>
      </w:pPr>
      <w:rPr>
        <w:rFonts w:ascii="Times New Roman" w:hAnsi="Times New Roman" w:cs="Times New Roman" w:hint="default"/>
        <w:b w:val="0"/>
        <w:i w:val="0"/>
      </w:rPr>
    </w:lvl>
    <w:lvl w:ilvl="3">
      <w:start w:val="1"/>
      <w:numFmt w:val="decimal"/>
      <w:lvlText w:val="(%4)"/>
      <w:lvlJc w:val="left"/>
      <w:pPr>
        <w:tabs>
          <w:tab w:val="num" w:pos="3144"/>
        </w:tabs>
        <w:ind w:left="3144" w:hanging="360"/>
      </w:pPr>
      <w:rPr>
        <w:rFonts w:hint="default"/>
        <w:b w:val="0"/>
        <w:i w:val="0"/>
      </w:rPr>
    </w:lvl>
    <w:lvl w:ilvl="4">
      <w:start w:val="1"/>
      <w:numFmt w:val="lowerLetter"/>
      <w:lvlText w:val="(%5)"/>
      <w:lvlJc w:val="left"/>
      <w:pPr>
        <w:tabs>
          <w:tab w:val="num" w:pos="3504"/>
        </w:tabs>
        <w:ind w:left="3504" w:hanging="360"/>
      </w:pPr>
      <w:rPr>
        <w:rFonts w:hint="default"/>
        <w:b w:val="0"/>
        <w:i w:val="0"/>
      </w:rPr>
    </w:lvl>
    <w:lvl w:ilvl="5">
      <w:start w:val="1"/>
      <w:numFmt w:val="lowerRoman"/>
      <w:lvlText w:val="(%6)"/>
      <w:lvlJc w:val="left"/>
      <w:pPr>
        <w:tabs>
          <w:tab w:val="num" w:pos="3864"/>
        </w:tabs>
        <w:ind w:left="3864" w:hanging="360"/>
      </w:pPr>
      <w:rPr>
        <w:rFonts w:hint="default"/>
        <w:b w:val="0"/>
        <w:i w:val="0"/>
      </w:rPr>
    </w:lvl>
    <w:lvl w:ilvl="6">
      <w:start w:val="1"/>
      <w:numFmt w:val="decimal"/>
      <w:lvlText w:val="%7."/>
      <w:lvlJc w:val="left"/>
      <w:pPr>
        <w:tabs>
          <w:tab w:val="num" w:pos="4224"/>
        </w:tabs>
        <w:ind w:left="4224" w:hanging="360"/>
      </w:pPr>
      <w:rPr>
        <w:rFonts w:hint="default"/>
        <w:b w:val="0"/>
        <w:i w:val="0"/>
      </w:rPr>
    </w:lvl>
    <w:lvl w:ilvl="7">
      <w:start w:val="1"/>
      <w:numFmt w:val="lowerLetter"/>
      <w:lvlText w:val="%8."/>
      <w:lvlJc w:val="left"/>
      <w:pPr>
        <w:tabs>
          <w:tab w:val="num" w:pos="4584"/>
        </w:tabs>
        <w:ind w:left="4584" w:hanging="360"/>
      </w:pPr>
      <w:rPr>
        <w:rFonts w:hint="default"/>
        <w:b w:val="0"/>
        <w:i w:val="0"/>
      </w:rPr>
    </w:lvl>
    <w:lvl w:ilvl="8">
      <w:start w:val="1"/>
      <w:numFmt w:val="lowerRoman"/>
      <w:lvlText w:val="%9."/>
      <w:lvlJc w:val="left"/>
      <w:pPr>
        <w:tabs>
          <w:tab w:val="num" w:pos="4944"/>
        </w:tabs>
        <w:ind w:left="4944"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9D1629"/>
    <w:multiLevelType w:val="hybridMultilevel"/>
    <w:tmpl w:val="A4FE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C1614A"/>
    <w:multiLevelType w:val="hybridMultilevel"/>
    <w:tmpl w:val="4E96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D2021"/>
    <w:multiLevelType w:val="multilevel"/>
    <w:tmpl w:val="72F8140E"/>
    <w:numStyleLink w:val="OutlineList"/>
  </w:abstractNum>
  <w:abstractNum w:abstractNumId="16" w15:restartNumberingAfterBreak="0">
    <w:nsid w:val="5E674D41"/>
    <w:multiLevelType w:val="hybridMultilevel"/>
    <w:tmpl w:val="DAB04550"/>
    <w:lvl w:ilvl="0" w:tplc="D41E2C6E">
      <w:start w:val="1"/>
      <w:numFmt w:val="decimal"/>
      <w:lvlText w:val="%1"/>
      <w:lvlJc w:val="center"/>
      <w:pPr>
        <w:ind w:left="720" w:hanging="360"/>
      </w:pPr>
      <w:rPr>
        <w:rFonts w:hint="default"/>
        <w:color w:val="002060"/>
        <w:position w:val="-6"/>
        <w:sz w:val="64"/>
        <w:szCs w:val="6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EC2962"/>
    <w:multiLevelType w:val="hybridMultilevel"/>
    <w:tmpl w:val="7EFC1760"/>
    <w:lvl w:ilvl="0" w:tplc="9552F286">
      <w:start w:val="1"/>
      <w:numFmt w:val="decimal"/>
      <w:lvlText w:val="%1"/>
      <w:lvlJc w:val="center"/>
      <w:pPr>
        <w:ind w:left="360" w:hanging="360"/>
      </w:pPr>
      <w:rPr>
        <w:rFonts w:hint="default"/>
        <w:color w:val="002060"/>
        <w:position w:val="-6"/>
        <w:sz w:val="64"/>
        <w:szCs w:val="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2E5277"/>
    <w:multiLevelType w:val="hybridMultilevel"/>
    <w:tmpl w:val="D4A6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06CE4"/>
    <w:multiLevelType w:val="multilevel"/>
    <w:tmpl w:val="4AE46AA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780B98"/>
    <w:multiLevelType w:val="multilevel"/>
    <w:tmpl w:val="69BA62C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C87DCA"/>
    <w:multiLevelType w:val="hybridMultilevel"/>
    <w:tmpl w:val="FB1AC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E70AD4"/>
    <w:multiLevelType w:val="hybridMultilevel"/>
    <w:tmpl w:val="E9620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545F85"/>
    <w:multiLevelType w:val="hybridMultilevel"/>
    <w:tmpl w:val="6D3E4EC4"/>
    <w:lvl w:ilvl="0" w:tplc="5830A922">
      <w:start w:val="1"/>
      <w:numFmt w:val="decimal"/>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5"/>
  </w:num>
  <w:num w:numId="6">
    <w:abstractNumId w:val="15"/>
    <w:lvlOverride w:ilvl="1">
      <w:lvl w:ilvl="1">
        <w:start w:val="1"/>
        <w:numFmt w:val="decimal"/>
        <w:pStyle w:val="OutlineNumbered2"/>
        <w:lvlText w:val="%1.%2"/>
        <w:lvlJc w:val="left"/>
        <w:pPr>
          <w:tabs>
            <w:tab w:val="num" w:pos="1134"/>
          </w:tabs>
          <w:ind w:left="1134" w:hanging="1134"/>
        </w:pPr>
        <w:rPr>
          <w:rFonts w:hint="default"/>
        </w:rPr>
      </w:lvl>
    </w:lvlOverride>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8"/>
  </w:num>
  <w:num w:numId="10">
    <w:abstractNumId w:val="11"/>
  </w:num>
  <w:num w:numId="11">
    <w:abstractNumId w:val="17"/>
  </w:num>
  <w:num w:numId="12">
    <w:abstractNumId w:val="19"/>
  </w:num>
  <w:num w:numId="13">
    <w:abstractNumId w:val="22"/>
  </w:num>
  <w:num w:numId="14">
    <w:abstractNumId w:val="14"/>
  </w:num>
  <w:num w:numId="15">
    <w:abstractNumId w:val="13"/>
  </w:num>
  <w:num w:numId="16">
    <w:abstractNumId w:val="21"/>
  </w:num>
  <w:num w:numId="17">
    <w:abstractNumId w:val="1"/>
  </w:num>
  <w:num w:numId="18">
    <w:abstractNumId w:val="7"/>
  </w:num>
  <w:num w:numId="19">
    <w:abstractNumId w:val="4"/>
  </w:num>
  <w:num w:numId="20">
    <w:abstractNumId w:val="2"/>
  </w:num>
  <w:num w:numId="21">
    <w:abstractNumId w:val="18"/>
  </w:num>
  <w:num w:numId="22">
    <w:abstractNumId w:val="16"/>
  </w:num>
  <w:num w:numId="23">
    <w:abstractNumId w:val="23"/>
  </w:num>
  <w:num w:numId="24">
    <w:abstractNumId w:val="9"/>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Formatting/>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3D11E7"/>
    <w:rsid w:val="000108AA"/>
    <w:rsid w:val="00011725"/>
    <w:rsid w:val="00012C62"/>
    <w:rsid w:val="00014940"/>
    <w:rsid w:val="00020170"/>
    <w:rsid w:val="000242A4"/>
    <w:rsid w:val="00024DFB"/>
    <w:rsid w:val="0002544D"/>
    <w:rsid w:val="00030AA1"/>
    <w:rsid w:val="0003190B"/>
    <w:rsid w:val="000352C4"/>
    <w:rsid w:val="000371FA"/>
    <w:rsid w:val="00037361"/>
    <w:rsid w:val="00041F22"/>
    <w:rsid w:val="0004274D"/>
    <w:rsid w:val="00042FD8"/>
    <w:rsid w:val="00043348"/>
    <w:rsid w:val="00043A4B"/>
    <w:rsid w:val="0004483F"/>
    <w:rsid w:val="00046C42"/>
    <w:rsid w:val="0005138B"/>
    <w:rsid w:val="0005166C"/>
    <w:rsid w:val="000522B7"/>
    <w:rsid w:val="00056307"/>
    <w:rsid w:val="00056880"/>
    <w:rsid w:val="00056B68"/>
    <w:rsid w:val="00060720"/>
    <w:rsid w:val="000675D1"/>
    <w:rsid w:val="000725A3"/>
    <w:rsid w:val="00073521"/>
    <w:rsid w:val="00073AEF"/>
    <w:rsid w:val="000775DE"/>
    <w:rsid w:val="0008037B"/>
    <w:rsid w:val="00081250"/>
    <w:rsid w:val="00081CC1"/>
    <w:rsid w:val="00082082"/>
    <w:rsid w:val="00083542"/>
    <w:rsid w:val="00084765"/>
    <w:rsid w:val="0008646F"/>
    <w:rsid w:val="00087635"/>
    <w:rsid w:val="00087A8B"/>
    <w:rsid w:val="00087FAF"/>
    <w:rsid w:val="00090A79"/>
    <w:rsid w:val="00092238"/>
    <w:rsid w:val="000935B0"/>
    <w:rsid w:val="00095F49"/>
    <w:rsid w:val="000963E4"/>
    <w:rsid w:val="0009655C"/>
    <w:rsid w:val="000A2356"/>
    <w:rsid w:val="000A2BF4"/>
    <w:rsid w:val="000A3A83"/>
    <w:rsid w:val="000A58DA"/>
    <w:rsid w:val="000B1A58"/>
    <w:rsid w:val="000B5F2E"/>
    <w:rsid w:val="000B736C"/>
    <w:rsid w:val="000C0DE4"/>
    <w:rsid w:val="000C3381"/>
    <w:rsid w:val="000C571D"/>
    <w:rsid w:val="000C5F40"/>
    <w:rsid w:val="000C6512"/>
    <w:rsid w:val="000C69F0"/>
    <w:rsid w:val="000D03AD"/>
    <w:rsid w:val="000D564A"/>
    <w:rsid w:val="000D5C39"/>
    <w:rsid w:val="000E071E"/>
    <w:rsid w:val="000E0B74"/>
    <w:rsid w:val="000E7901"/>
    <w:rsid w:val="000F0D27"/>
    <w:rsid w:val="000F1B34"/>
    <w:rsid w:val="000F46D1"/>
    <w:rsid w:val="001025D6"/>
    <w:rsid w:val="0010278E"/>
    <w:rsid w:val="0010478B"/>
    <w:rsid w:val="00106FAB"/>
    <w:rsid w:val="00111BF6"/>
    <w:rsid w:val="00114A6B"/>
    <w:rsid w:val="00116219"/>
    <w:rsid w:val="001207A8"/>
    <w:rsid w:val="00120C87"/>
    <w:rsid w:val="00121D2D"/>
    <w:rsid w:val="00125D50"/>
    <w:rsid w:val="00127C34"/>
    <w:rsid w:val="00127EC4"/>
    <w:rsid w:val="00131539"/>
    <w:rsid w:val="00131BF0"/>
    <w:rsid w:val="00131DC3"/>
    <w:rsid w:val="00135E4C"/>
    <w:rsid w:val="001373F5"/>
    <w:rsid w:val="00140398"/>
    <w:rsid w:val="00140822"/>
    <w:rsid w:val="00143F01"/>
    <w:rsid w:val="00146F60"/>
    <w:rsid w:val="001513B3"/>
    <w:rsid w:val="00154D0F"/>
    <w:rsid w:val="00156956"/>
    <w:rsid w:val="00157DFC"/>
    <w:rsid w:val="00157F77"/>
    <w:rsid w:val="001606CF"/>
    <w:rsid w:val="0016128D"/>
    <w:rsid w:val="001644C1"/>
    <w:rsid w:val="00165524"/>
    <w:rsid w:val="0016777E"/>
    <w:rsid w:val="00167D37"/>
    <w:rsid w:val="0017089D"/>
    <w:rsid w:val="00171690"/>
    <w:rsid w:val="00172573"/>
    <w:rsid w:val="00176154"/>
    <w:rsid w:val="00181140"/>
    <w:rsid w:val="00182908"/>
    <w:rsid w:val="001852CD"/>
    <w:rsid w:val="001903C3"/>
    <w:rsid w:val="0019101A"/>
    <w:rsid w:val="00193143"/>
    <w:rsid w:val="00194E43"/>
    <w:rsid w:val="00196141"/>
    <w:rsid w:val="001972D2"/>
    <w:rsid w:val="001A0CB7"/>
    <w:rsid w:val="001A26E6"/>
    <w:rsid w:val="001A3D44"/>
    <w:rsid w:val="001A4B95"/>
    <w:rsid w:val="001A4C85"/>
    <w:rsid w:val="001A5402"/>
    <w:rsid w:val="001A5CCC"/>
    <w:rsid w:val="001A6D9F"/>
    <w:rsid w:val="001A6FA7"/>
    <w:rsid w:val="001B0F44"/>
    <w:rsid w:val="001B3623"/>
    <w:rsid w:val="001B4197"/>
    <w:rsid w:val="001B7E07"/>
    <w:rsid w:val="001C0D9C"/>
    <w:rsid w:val="001C1A56"/>
    <w:rsid w:val="001C2A3B"/>
    <w:rsid w:val="001C2CCE"/>
    <w:rsid w:val="001C358D"/>
    <w:rsid w:val="001C490F"/>
    <w:rsid w:val="001C6987"/>
    <w:rsid w:val="001D46C4"/>
    <w:rsid w:val="001D4CF9"/>
    <w:rsid w:val="001D71AE"/>
    <w:rsid w:val="001E1198"/>
    <w:rsid w:val="001E2522"/>
    <w:rsid w:val="001E27C2"/>
    <w:rsid w:val="001E6777"/>
    <w:rsid w:val="001E67B9"/>
    <w:rsid w:val="001E6CB8"/>
    <w:rsid w:val="001F167A"/>
    <w:rsid w:val="001F1B27"/>
    <w:rsid w:val="001F2A0F"/>
    <w:rsid w:val="001F589A"/>
    <w:rsid w:val="002033DE"/>
    <w:rsid w:val="002046C0"/>
    <w:rsid w:val="00206756"/>
    <w:rsid w:val="00207F44"/>
    <w:rsid w:val="00212A58"/>
    <w:rsid w:val="00214CB8"/>
    <w:rsid w:val="0021757C"/>
    <w:rsid w:val="00221EC0"/>
    <w:rsid w:val="0022357B"/>
    <w:rsid w:val="0022546C"/>
    <w:rsid w:val="00231049"/>
    <w:rsid w:val="002314D2"/>
    <w:rsid w:val="0023305C"/>
    <w:rsid w:val="00235D51"/>
    <w:rsid w:val="0024122D"/>
    <w:rsid w:val="00241881"/>
    <w:rsid w:val="0024294C"/>
    <w:rsid w:val="002459A3"/>
    <w:rsid w:val="00251099"/>
    <w:rsid w:val="00251D9E"/>
    <w:rsid w:val="00254B85"/>
    <w:rsid w:val="00254D20"/>
    <w:rsid w:val="0025652F"/>
    <w:rsid w:val="00261DB4"/>
    <w:rsid w:val="00263B6C"/>
    <w:rsid w:val="002651E8"/>
    <w:rsid w:val="00265506"/>
    <w:rsid w:val="00270EDF"/>
    <w:rsid w:val="002717C0"/>
    <w:rsid w:val="00272939"/>
    <w:rsid w:val="00272A9F"/>
    <w:rsid w:val="002757FA"/>
    <w:rsid w:val="0027590B"/>
    <w:rsid w:val="002774F5"/>
    <w:rsid w:val="00283A7F"/>
    <w:rsid w:val="00284882"/>
    <w:rsid w:val="00285969"/>
    <w:rsid w:val="00286212"/>
    <w:rsid w:val="00287286"/>
    <w:rsid w:val="00290C1A"/>
    <w:rsid w:val="002911E4"/>
    <w:rsid w:val="00293440"/>
    <w:rsid w:val="0029556D"/>
    <w:rsid w:val="00296283"/>
    <w:rsid w:val="002A0367"/>
    <w:rsid w:val="002A53E2"/>
    <w:rsid w:val="002A74EF"/>
    <w:rsid w:val="002A7D94"/>
    <w:rsid w:val="002B3829"/>
    <w:rsid w:val="002B3CBC"/>
    <w:rsid w:val="002B726D"/>
    <w:rsid w:val="002C22EF"/>
    <w:rsid w:val="002C6583"/>
    <w:rsid w:val="002C72B7"/>
    <w:rsid w:val="002D340B"/>
    <w:rsid w:val="002D37B2"/>
    <w:rsid w:val="002D4B41"/>
    <w:rsid w:val="002D5C9D"/>
    <w:rsid w:val="002D6C73"/>
    <w:rsid w:val="002E454C"/>
    <w:rsid w:val="002E5A99"/>
    <w:rsid w:val="002E5CAE"/>
    <w:rsid w:val="002E64C0"/>
    <w:rsid w:val="002E7475"/>
    <w:rsid w:val="002E7D71"/>
    <w:rsid w:val="002F08B1"/>
    <w:rsid w:val="002F617F"/>
    <w:rsid w:val="00300109"/>
    <w:rsid w:val="00305FBC"/>
    <w:rsid w:val="00306894"/>
    <w:rsid w:val="00306CF6"/>
    <w:rsid w:val="003072C3"/>
    <w:rsid w:val="003122F4"/>
    <w:rsid w:val="003143FE"/>
    <w:rsid w:val="0031588B"/>
    <w:rsid w:val="003206F6"/>
    <w:rsid w:val="003208DA"/>
    <w:rsid w:val="00320BB4"/>
    <w:rsid w:val="00322243"/>
    <w:rsid w:val="00323AE8"/>
    <w:rsid w:val="00325204"/>
    <w:rsid w:val="00325B6F"/>
    <w:rsid w:val="00326680"/>
    <w:rsid w:val="003268D5"/>
    <w:rsid w:val="0033165F"/>
    <w:rsid w:val="003357CB"/>
    <w:rsid w:val="00341113"/>
    <w:rsid w:val="003448F6"/>
    <w:rsid w:val="00350759"/>
    <w:rsid w:val="00350788"/>
    <w:rsid w:val="00350FD1"/>
    <w:rsid w:val="0035153A"/>
    <w:rsid w:val="00354D27"/>
    <w:rsid w:val="0035738A"/>
    <w:rsid w:val="00357413"/>
    <w:rsid w:val="00360AC4"/>
    <w:rsid w:val="00362EAB"/>
    <w:rsid w:val="00365E2D"/>
    <w:rsid w:val="003740A1"/>
    <w:rsid w:val="00374AC8"/>
    <w:rsid w:val="003803C1"/>
    <w:rsid w:val="003857B7"/>
    <w:rsid w:val="003858A6"/>
    <w:rsid w:val="00386715"/>
    <w:rsid w:val="00386F01"/>
    <w:rsid w:val="003916B0"/>
    <w:rsid w:val="00392844"/>
    <w:rsid w:val="00392DCC"/>
    <w:rsid w:val="0039423E"/>
    <w:rsid w:val="003948A5"/>
    <w:rsid w:val="00394FE5"/>
    <w:rsid w:val="003A0947"/>
    <w:rsid w:val="003A1224"/>
    <w:rsid w:val="003A309C"/>
    <w:rsid w:val="003A58D7"/>
    <w:rsid w:val="003A5B36"/>
    <w:rsid w:val="003A6050"/>
    <w:rsid w:val="003A653C"/>
    <w:rsid w:val="003B5278"/>
    <w:rsid w:val="003B577B"/>
    <w:rsid w:val="003C2116"/>
    <w:rsid w:val="003C24B4"/>
    <w:rsid w:val="003C4E06"/>
    <w:rsid w:val="003C6DA0"/>
    <w:rsid w:val="003D11E7"/>
    <w:rsid w:val="003D2654"/>
    <w:rsid w:val="003E20D6"/>
    <w:rsid w:val="003E28DE"/>
    <w:rsid w:val="003E2DBC"/>
    <w:rsid w:val="003E4D87"/>
    <w:rsid w:val="003E66E6"/>
    <w:rsid w:val="003E687D"/>
    <w:rsid w:val="003F1C55"/>
    <w:rsid w:val="003F479F"/>
    <w:rsid w:val="003F680F"/>
    <w:rsid w:val="00401082"/>
    <w:rsid w:val="0040593B"/>
    <w:rsid w:val="00407CDB"/>
    <w:rsid w:val="004107A5"/>
    <w:rsid w:val="00410EC5"/>
    <w:rsid w:val="00413D7A"/>
    <w:rsid w:val="00413F31"/>
    <w:rsid w:val="00414250"/>
    <w:rsid w:val="00416701"/>
    <w:rsid w:val="00416762"/>
    <w:rsid w:val="00416E55"/>
    <w:rsid w:val="00417C26"/>
    <w:rsid w:val="004246FE"/>
    <w:rsid w:val="0042518A"/>
    <w:rsid w:val="004251BE"/>
    <w:rsid w:val="00433ABA"/>
    <w:rsid w:val="00433AE0"/>
    <w:rsid w:val="00436066"/>
    <w:rsid w:val="004415EA"/>
    <w:rsid w:val="004437DB"/>
    <w:rsid w:val="00445265"/>
    <w:rsid w:val="00455015"/>
    <w:rsid w:val="004559CE"/>
    <w:rsid w:val="00460E1A"/>
    <w:rsid w:val="00462819"/>
    <w:rsid w:val="004631C7"/>
    <w:rsid w:val="00463DF8"/>
    <w:rsid w:val="00465110"/>
    <w:rsid w:val="00465DDB"/>
    <w:rsid w:val="0047075F"/>
    <w:rsid w:val="0047078F"/>
    <w:rsid w:val="004714F8"/>
    <w:rsid w:val="00475085"/>
    <w:rsid w:val="004757DD"/>
    <w:rsid w:val="00476C63"/>
    <w:rsid w:val="00476CF6"/>
    <w:rsid w:val="00477693"/>
    <w:rsid w:val="00477AA8"/>
    <w:rsid w:val="00483628"/>
    <w:rsid w:val="0048525C"/>
    <w:rsid w:val="00492FCB"/>
    <w:rsid w:val="00495850"/>
    <w:rsid w:val="00495BBF"/>
    <w:rsid w:val="00496C47"/>
    <w:rsid w:val="00496C51"/>
    <w:rsid w:val="0049727C"/>
    <w:rsid w:val="004A03D6"/>
    <w:rsid w:val="004A0F11"/>
    <w:rsid w:val="004A3EAA"/>
    <w:rsid w:val="004A3EE0"/>
    <w:rsid w:val="004A46A3"/>
    <w:rsid w:val="004A5263"/>
    <w:rsid w:val="004A76B9"/>
    <w:rsid w:val="004A7D97"/>
    <w:rsid w:val="004B287A"/>
    <w:rsid w:val="004B46E9"/>
    <w:rsid w:val="004B5133"/>
    <w:rsid w:val="004B6BEA"/>
    <w:rsid w:val="004C0B5C"/>
    <w:rsid w:val="004C2C83"/>
    <w:rsid w:val="004C3240"/>
    <w:rsid w:val="004C4087"/>
    <w:rsid w:val="004C41B6"/>
    <w:rsid w:val="004C44FE"/>
    <w:rsid w:val="004D03A8"/>
    <w:rsid w:val="004D0713"/>
    <w:rsid w:val="004D37AA"/>
    <w:rsid w:val="004D6E37"/>
    <w:rsid w:val="004E00EA"/>
    <w:rsid w:val="004E2081"/>
    <w:rsid w:val="004E28EA"/>
    <w:rsid w:val="004E32A2"/>
    <w:rsid w:val="004E35AB"/>
    <w:rsid w:val="004E3706"/>
    <w:rsid w:val="004E44B6"/>
    <w:rsid w:val="004F1E97"/>
    <w:rsid w:val="004F4A3F"/>
    <w:rsid w:val="004F4B92"/>
    <w:rsid w:val="004F6A18"/>
    <w:rsid w:val="00501972"/>
    <w:rsid w:val="00504090"/>
    <w:rsid w:val="005044AB"/>
    <w:rsid w:val="00504865"/>
    <w:rsid w:val="005134B0"/>
    <w:rsid w:val="00516212"/>
    <w:rsid w:val="00516785"/>
    <w:rsid w:val="00517DAB"/>
    <w:rsid w:val="00523CB9"/>
    <w:rsid w:val="0052419D"/>
    <w:rsid w:val="005301F8"/>
    <w:rsid w:val="0053114A"/>
    <w:rsid w:val="005312FC"/>
    <w:rsid w:val="005325A5"/>
    <w:rsid w:val="0053569E"/>
    <w:rsid w:val="00535BF9"/>
    <w:rsid w:val="0053603D"/>
    <w:rsid w:val="00536EA9"/>
    <w:rsid w:val="0053742A"/>
    <w:rsid w:val="00537806"/>
    <w:rsid w:val="00537C5E"/>
    <w:rsid w:val="00537C85"/>
    <w:rsid w:val="00540DFB"/>
    <w:rsid w:val="00541D29"/>
    <w:rsid w:val="00543D34"/>
    <w:rsid w:val="005447D5"/>
    <w:rsid w:val="00545AAC"/>
    <w:rsid w:val="005470AE"/>
    <w:rsid w:val="005531FD"/>
    <w:rsid w:val="00553217"/>
    <w:rsid w:val="00557652"/>
    <w:rsid w:val="00560FB7"/>
    <w:rsid w:val="005629C7"/>
    <w:rsid w:val="00562F17"/>
    <w:rsid w:val="0056582C"/>
    <w:rsid w:val="00565F4E"/>
    <w:rsid w:val="00576A98"/>
    <w:rsid w:val="00577538"/>
    <w:rsid w:val="0058100A"/>
    <w:rsid w:val="005835D9"/>
    <w:rsid w:val="00583629"/>
    <w:rsid w:val="005841CC"/>
    <w:rsid w:val="00584A23"/>
    <w:rsid w:val="0058551D"/>
    <w:rsid w:val="0058551F"/>
    <w:rsid w:val="005868DE"/>
    <w:rsid w:val="005949EA"/>
    <w:rsid w:val="00594E31"/>
    <w:rsid w:val="005966B7"/>
    <w:rsid w:val="005972DA"/>
    <w:rsid w:val="005A2C97"/>
    <w:rsid w:val="005A4540"/>
    <w:rsid w:val="005A6DC7"/>
    <w:rsid w:val="005B2331"/>
    <w:rsid w:val="005B5E2A"/>
    <w:rsid w:val="005B6FE2"/>
    <w:rsid w:val="005B7E8A"/>
    <w:rsid w:val="005C02A4"/>
    <w:rsid w:val="005C04DB"/>
    <w:rsid w:val="005C0689"/>
    <w:rsid w:val="005C20D2"/>
    <w:rsid w:val="005C2ED3"/>
    <w:rsid w:val="005C32FE"/>
    <w:rsid w:val="005C5E4A"/>
    <w:rsid w:val="005D024A"/>
    <w:rsid w:val="005D4FD4"/>
    <w:rsid w:val="005D6AF9"/>
    <w:rsid w:val="005D6D64"/>
    <w:rsid w:val="005E1EA3"/>
    <w:rsid w:val="005E4884"/>
    <w:rsid w:val="005F095C"/>
    <w:rsid w:val="005F439A"/>
    <w:rsid w:val="005F5591"/>
    <w:rsid w:val="005F5F76"/>
    <w:rsid w:val="005F6BEA"/>
    <w:rsid w:val="00600698"/>
    <w:rsid w:val="00601650"/>
    <w:rsid w:val="00605AFD"/>
    <w:rsid w:val="00606994"/>
    <w:rsid w:val="0060788E"/>
    <w:rsid w:val="006123D4"/>
    <w:rsid w:val="0061445B"/>
    <w:rsid w:val="00616F0A"/>
    <w:rsid w:val="006203B8"/>
    <w:rsid w:val="006212B3"/>
    <w:rsid w:val="00624C4B"/>
    <w:rsid w:val="006279D5"/>
    <w:rsid w:val="00630CE7"/>
    <w:rsid w:val="0063194B"/>
    <w:rsid w:val="00641106"/>
    <w:rsid w:val="00644AC1"/>
    <w:rsid w:val="00645E7B"/>
    <w:rsid w:val="00654CF3"/>
    <w:rsid w:val="00654F2F"/>
    <w:rsid w:val="00656305"/>
    <w:rsid w:val="00656A22"/>
    <w:rsid w:val="006610FA"/>
    <w:rsid w:val="006625BF"/>
    <w:rsid w:val="00662AF5"/>
    <w:rsid w:val="0066344C"/>
    <w:rsid w:val="00670E21"/>
    <w:rsid w:val="00685CF7"/>
    <w:rsid w:val="00686165"/>
    <w:rsid w:val="00690138"/>
    <w:rsid w:val="00690780"/>
    <w:rsid w:val="00691CB5"/>
    <w:rsid w:val="006921B4"/>
    <w:rsid w:val="00692D21"/>
    <w:rsid w:val="00693BD2"/>
    <w:rsid w:val="00695080"/>
    <w:rsid w:val="00695F47"/>
    <w:rsid w:val="006A10AD"/>
    <w:rsid w:val="006A37F5"/>
    <w:rsid w:val="006B6CAA"/>
    <w:rsid w:val="006C0046"/>
    <w:rsid w:val="006C1892"/>
    <w:rsid w:val="006C3E7E"/>
    <w:rsid w:val="006C5B73"/>
    <w:rsid w:val="006C645D"/>
    <w:rsid w:val="006D5AF7"/>
    <w:rsid w:val="006E0715"/>
    <w:rsid w:val="006E18C4"/>
    <w:rsid w:val="006E2323"/>
    <w:rsid w:val="006E2AFA"/>
    <w:rsid w:val="006E3731"/>
    <w:rsid w:val="006E3CC3"/>
    <w:rsid w:val="006E6ABB"/>
    <w:rsid w:val="006F14B4"/>
    <w:rsid w:val="006F39D9"/>
    <w:rsid w:val="00701041"/>
    <w:rsid w:val="0070592D"/>
    <w:rsid w:val="00706E8E"/>
    <w:rsid w:val="00712233"/>
    <w:rsid w:val="00716F9F"/>
    <w:rsid w:val="00722411"/>
    <w:rsid w:val="00722430"/>
    <w:rsid w:val="00722B53"/>
    <w:rsid w:val="00722C51"/>
    <w:rsid w:val="00723B13"/>
    <w:rsid w:val="00726D8B"/>
    <w:rsid w:val="00731532"/>
    <w:rsid w:val="00733A7C"/>
    <w:rsid w:val="00734B4C"/>
    <w:rsid w:val="007351B1"/>
    <w:rsid w:val="00735E5B"/>
    <w:rsid w:val="00737656"/>
    <w:rsid w:val="0073768D"/>
    <w:rsid w:val="007425B0"/>
    <w:rsid w:val="007509DD"/>
    <w:rsid w:val="00752074"/>
    <w:rsid w:val="00754A10"/>
    <w:rsid w:val="00756784"/>
    <w:rsid w:val="00763474"/>
    <w:rsid w:val="00771BA2"/>
    <w:rsid w:val="00780471"/>
    <w:rsid w:val="00784C0A"/>
    <w:rsid w:val="007860E0"/>
    <w:rsid w:val="007929CA"/>
    <w:rsid w:val="00792F4A"/>
    <w:rsid w:val="00794B40"/>
    <w:rsid w:val="00797077"/>
    <w:rsid w:val="007975BB"/>
    <w:rsid w:val="007A0B5E"/>
    <w:rsid w:val="007A1079"/>
    <w:rsid w:val="007A19DC"/>
    <w:rsid w:val="007A6713"/>
    <w:rsid w:val="007B0083"/>
    <w:rsid w:val="007B1F22"/>
    <w:rsid w:val="007B4884"/>
    <w:rsid w:val="007B76AB"/>
    <w:rsid w:val="007C045A"/>
    <w:rsid w:val="007C1C37"/>
    <w:rsid w:val="007D1CDC"/>
    <w:rsid w:val="007D592B"/>
    <w:rsid w:val="007D5AA6"/>
    <w:rsid w:val="007D7A91"/>
    <w:rsid w:val="007D7EEB"/>
    <w:rsid w:val="007E20BF"/>
    <w:rsid w:val="007E2C45"/>
    <w:rsid w:val="007E2EE6"/>
    <w:rsid w:val="007E6456"/>
    <w:rsid w:val="007F2AE5"/>
    <w:rsid w:val="007F3322"/>
    <w:rsid w:val="007F6208"/>
    <w:rsid w:val="007F6A64"/>
    <w:rsid w:val="0080160B"/>
    <w:rsid w:val="00811943"/>
    <w:rsid w:val="00811A6A"/>
    <w:rsid w:val="00813F45"/>
    <w:rsid w:val="00814AFF"/>
    <w:rsid w:val="00824D66"/>
    <w:rsid w:val="008261DC"/>
    <w:rsid w:val="0082678E"/>
    <w:rsid w:val="00827552"/>
    <w:rsid w:val="008311B8"/>
    <w:rsid w:val="00831BC4"/>
    <w:rsid w:val="00833D09"/>
    <w:rsid w:val="00833D30"/>
    <w:rsid w:val="00833EDD"/>
    <w:rsid w:val="00834243"/>
    <w:rsid w:val="008353B9"/>
    <w:rsid w:val="00845329"/>
    <w:rsid w:val="0084633A"/>
    <w:rsid w:val="00853D59"/>
    <w:rsid w:val="00856634"/>
    <w:rsid w:val="008577C5"/>
    <w:rsid w:val="00857969"/>
    <w:rsid w:val="00865FDB"/>
    <w:rsid w:val="00867A55"/>
    <w:rsid w:val="00870B8D"/>
    <w:rsid w:val="00873DFB"/>
    <w:rsid w:val="00880877"/>
    <w:rsid w:val="00882CC4"/>
    <w:rsid w:val="00883471"/>
    <w:rsid w:val="00885F4C"/>
    <w:rsid w:val="008875CD"/>
    <w:rsid w:val="00891743"/>
    <w:rsid w:val="00897A4F"/>
    <w:rsid w:val="00897C27"/>
    <w:rsid w:val="008A0B4D"/>
    <w:rsid w:val="008A1227"/>
    <w:rsid w:val="008A2600"/>
    <w:rsid w:val="008A31C5"/>
    <w:rsid w:val="008A3434"/>
    <w:rsid w:val="008A3C8B"/>
    <w:rsid w:val="008A618B"/>
    <w:rsid w:val="008B0089"/>
    <w:rsid w:val="008B01FC"/>
    <w:rsid w:val="008B030D"/>
    <w:rsid w:val="008B06EC"/>
    <w:rsid w:val="008B0AF1"/>
    <w:rsid w:val="008B315F"/>
    <w:rsid w:val="008B3A39"/>
    <w:rsid w:val="008B4BE8"/>
    <w:rsid w:val="008B7302"/>
    <w:rsid w:val="008B75E1"/>
    <w:rsid w:val="008C0D82"/>
    <w:rsid w:val="008C522F"/>
    <w:rsid w:val="008C7EAA"/>
    <w:rsid w:val="008C7F34"/>
    <w:rsid w:val="008C7F71"/>
    <w:rsid w:val="008D07F4"/>
    <w:rsid w:val="008D1DD3"/>
    <w:rsid w:val="008D339F"/>
    <w:rsid w:val="008D6994"/>
    <w:rsid w:val="008D7AB0"/>
    <w:rsid w:val="008E19A3"/>
    <w:rsid w:val="008E6292"/>
    <w:rsid w:val="008F3163"/>
    <w:rsid w:val="008F7516"/>
    <w:rsid w:val="00902211"/>
    <w:rsid w:val="00903CC9"/>
    <w:rsid w:val="00906C82"/>
    <w:rsid w:val="00906D53"/>
    <w:rsid w:val="009114C3"/>
    <w:rsid w:val="00911C00"/>
    <w:rsid w:val="00911E9D"/>
    <w:rsid w:val="009136A2"/>
    <w:rsid w:val="009140AA"/>
    <w:rsid w:val="009141CE"/>
    <w:rsid w:val="0091507B"/>
    <w:rsid w:val="009228B9"/>
    <w:rsid w:val="00925AA5"/>
    <w:rsid w:val="0093064F"/>
    <w:rsid w:val="00933921"/>
    <w:rsid w:val="0093540D"/>
    <w:rsid w:val="0094019D"/>
    <w:rsid w:val="009406F1"/>
    <w:rsid w:val="00941A72"/>
    <w:rsid w:val="00942C11"/>
    <w:rsid w:val="0094351F"/>
    <w:rsid w:val="0094384F"/>
    <w:rsid w:val="009466B5"/>
    <w:rsid w:val="009547F8"/>
    <w:rsid w:val="009550B1"/>
    <w:rsid w:val="009570BE"/>
    <w:rsid w:val="00961075"/>
    <w:rsid w:val="00961CD3"/>
    <w:rsid w:val="009729D4"/>
    <w:rsid w:val="00972B41"/>
    <w:rsid w:val="009817B0"/>
    <w:rsid w:val="00981A88"/>
    <w:rsid w:val="009821CE"/>
    <w:rsid w:val="00984ADA"/>
    <w:rsid w:val="00985D40"/>
    <w:rsid w:val="00991153"/>
    <w:rsid w:val="009911AC"/>
    <w:rsid w:val="00993CB2"/>
    <w:rsid w:val="00996EAB"/>
    <w:rsid w:val="00997FC9"/>
    <w:rsid w:val="009A066C"/>
    <w:rsid w:val="009A0CC1"/>
    <w:rsid w:val="009A1CF1"/>
    <w:rsid w:val="009A277C"/>
    <w:rsid w:val="009A371A"/>
    <w:rsid w:val="009A4A35"/>
    <w:rsid w:val="009A5202"/>
    <w:rsid w:val="009A5BE0"/>
    <w:rsid w:val="009A5F0D"/>
    <w:rsid w:val="009A658F"/>
    <w:rsid w:val="009A7129"/>
    <w:rsid w:val="009A7E7F"/>
    <w:rsid w:val="009B2FDE"/>
    <w:rsid w:val="009B595F"/>
    <w:rsid w:val="009C0E2D"/>
    <w:rsid w:val="009C1B49"/>
    <w:rsid w:val="009C308E"/>
    <w:rsid w:val="009C6248"/>
    <w:rsid w:val="009C712D"/>
    <w:rsid w:val="009D2B3C"/>
    <w:rsid w:val="009D3DA1"/>
    <w:rsid w:val="009D4FA0"/>
    <w:rsid w:val="009D68A7"/>
    <w:rsid w:val="009E06F0"/>
    <w:rsid w:val="009E070F"/>
    <w:rsid w:val="009E171B"/>
    <w:rsid w:val="009E3271"/>
    <w:rsid w:val="009E4E76"/>
    <w:rsid w:val="009E5938"/>
    <w:rsid w:val="009F26DB"/>
    <w:rsid w:val="009F35F2"/>
    <w:rsid w:val="009F4C2A"/>
    <w:rsid w:val="009F65FF"/>
    <w:rsid w:val="00A00EB9"/>
    <w:rsid w:val="00A015E8"/>
    <w:rsid w:val="00A018E9"/>
    <w:rsid w:val="00A02C8B"/>
    <w:rsid w:val="00A07D47"/>
    <w:rsid w:val="00A11153"/>
    <w:rsid w:val="00A11F8F"/>
    <w:rsid w:val="00A12F62"/>
    <w:rsid w:val="00A135F6"/>
    <w:rsid w:val="00A140B5"/>
    <w:rsid w:val="00A14FE9"/>
    <w:rsid w:val="00A1609B"/>
    <w:rsid w:val="00A1611D"/>
    <w:rsid w:val="00A24FB1"/>
    <w:rsid w:val="00A27B32"/>
    <w:rsid w:val="00A27E0E"/>
    <w:rsid w:val="00A27E9A"/>
    <w:rsid w:val="00A31577"/>
    <w:rsid w:val="00A32C96"/>
    <w:rsid w:val="00A36AD1"/>
    <w:rsid w:val="00A3749B"/>
    <w:rsid w:val="00A37D87"/>
    <w:rsid w:val="00A401C6"/>
    <w:rsid w:val="00A403FE"/>
    <w:rsid w:val="00A504E3"/>
    <w:rsid w:val="00A50D88"/>
    <w:rsid w:val="00A55E08"/>
    <w:rsid w:val="00A56923"/>
    <w:rsid w:val="00A5767B"/>
    <w:rsid w:val="00A62E42"/>
    <w:rsid w:val="00A636B2"/>
    <w:rsid w:val="00A64A71"/>
    <w:rsid w:val="00A65719"/>
    <w:rsid w:val="00A66263"/>
    <w:rsid w:val="00A700CA"/>
    <w:rsid w:val="00A70BCE"/>
    <w:rsid w:val="00A7151D"/>
    <w:rsid w:val="00A72960"/>
    <w:rsid w:val="00A72D8F"/>
    <w:rsid w:val="00A7467F"/>
    <w:rsid w:val="00A8108E"/>
    <w:rsid w:val="00A81672"/>
    <w:rsid w:val="00A82125"/>
    <w:rsid w:val="00A82424"/>
    <w:rsid w:val="00A84E1F"/>
    <w:rsid w:val="00A878FE"/>
    <w:rsid w:val="00A92791"/>
    <w:rsid w:val="00A93401"/>
    <w:rsid w:val="00A94564"/>
    <w:rsid w:val="00AA26DD"/>
    <w:rsid w:val="00AA2C5A"/>
    <w:rsid w:val="00AA42E3"/>
    <w:rsid w:val="00AA56D0"/>
    <w:rsid w:val="00AB3A72"/>
    <w:rsid w:val="00AC243A"/>
    <w:rsid w:val="00AC3196"/>
    <w:rsid w:val="00AC503D"/>
    <w:rsid w:val="00AC5B78"/>
    <w:rsid w:val="00AD09A9"/>
    <w:rsid w:val="00AD16FF"/>
    <w:rsid w:val="00AD2191"/>
    <w:rsid w:val="00AE2C93"/>
    <w:rsid w:val="00AE2F90"/>
    <w:rsid w:val="00AE6139"/>
    <w:rsid w:val="00AE68A4"/>
    <w:rsid w:val="00AE7B68"/>
    <w:rsid w:val="00AF4636"/>
    <w:rsid w:val="00AF500C"/>
    <w:rsid w:val="00B005C8"/>
    <w:rsid w:val="00B03DD6"/>
    <w:rsid w:val="00B2470A"/>
    <w:rsid w:val="00B30D2A"/>
    <w:rsid w:val="00B3583B"/>
    <w:rsid w:val="00B37A8F"/>
    <w:rsid w:val="00B37C6C"/>
    <w:rsid w:val="00B404A0"/>
    <w:rsid w:val="00B532D5"/>
    <w:rsid w:val="00B54EFC"/>
    <w:rsid w:val="00B561AC"/>
    <w:rsid w:val="00B61F82"/>
    <w:rsid w:val="00B632AB"/>
    <w:rsid w:val="00B65347"/>
    <w:rsid w:val="00B65654"/>
    <w:rsid w:val="00B65D9C"/>
    <w:rsid w:val="00B66594"/>
    <w:rsid w:val="00B66741"/>
    <w:rsid w:val="00B72F60"/>
    <w:rsid w:val="00B75044"/>
    <w:rsid w:val="00B776B0"/>
    <w:rsid w:val="00B77AE4"/>
    <w:rsid w:val="00B77F2A"/>
    <w:rsid w:val="00B810A6"/>
    <w:rsid w:val="00B873F4"/>
    <w:rsid w:val="00B87927"/>
    <w:rsid w:val="00B91F7D"/>
    <w:rsid w:val="00B92823"/>
    <w:rsid w:val="00B928F5"/>
    <w:rsid w:val="00B95FD7"/>
    <w:rsid w:val="00B973D3"/>
    <w:rsid w:val="00BA0E1C"/>
    <w:rsid w:val="00BA177A"/>
    <w:rsid w:val="00BA200A"/>
    <w:rsid w:val="00BA28BB"/>
    <w:rsid w:val="00BA34E2"/>
    <w:rsid w:val="00BA3E67"/>
    <w:rsid w:val="00BA718F"/>
    <w:rsid w:val="00BB34EE"/>
    <w:rsid w:val="00BB4541"/>
    <w:rsid w:val="00BB683F"/>
    <w:rsid w:val="00BC07DE"/>
    <w:rsid w:val="00BC1ECC"/>
    <w:rsid w:val="00BC3052"/>
    <w:rsid w:val="00BC448B"/>
    <w:rsid w:val="00BC4D69"/>
    <w:rsid w:val="00BC5FDE"/>
    <w:rsid w:val="00BD0F2C"/>
    <w:rsid w:val="00BD19CC"/>
    <w:rsid w:val="00BD26AA"/>
    <w:rsid w:val="00BD3620"/>
    <w:rsid w:val="00BD454F"/>
    <w:rsid w:val="00BE0A52"/>
    <w:rsid w:val="00BE33B9"/>
    <w:rsid w:val="00BE3B72"/>
    <w:rsid w:val="00BE45E3"/>
    <w:rsid w:val="00BF0B9D"/>
    <w:rsid w:val="00BF5387"/>
    <w:rsid w:val="00C00440"/>
    <w:rsid w:val="00C01DCC"/>
    <w:rsid w:val="00C076B6"/>
    <w:rsid w:val="00C1137A"/>
    <w:rsid w:val="00C114D0"/>
    <w:rsid w:val="00C16870"/>
    <w:rsid w:val="00C17A14"/>
    <w:rsid w:val="00C202B3"/>
    <w:rsid w:val="00C209E0"/>
    <w:rsid w:val="00C21EE0"/>
    <w:rsid w:val="00C23172"/>
    <w:rsid w:val="00C23F0D"/>
    <w:rsid w:val="00C2513C"/>
    <w:rsid w:val="00C2574E"/>
    <w:rsid w:val="00C279A8"/>
    <w:rsid w:val="00C30297"/>
    <w:rsid w:val="00C30C59"/>
    <w:rsid w:val="00C3398C"/>
    <w:rsid w:val="00C33E0E"/>
    <w:rsid w:val="00C37FD1"/>
    <w:rsid w:val="00C40C67"/>
    <w:rsid w:val="00C42165"/>
    <w:rsid w:val="00C42C02"/>
    <w:rsid w:val="00C45A28"/>
    <w:rsid w:val="00C5548F"/>
    <w:rsid w:val="00C5625F"/>
    <w:rsid w:val="00C61C28"/>
    <w:rsid w:val="00C64A34"/>
    <w:rsid w:val="00C650C2"/>
    <w:rsid w:val="00C66502"/>
    <w:rsid w:val="00C72318"/>
    <w:rsid w:val="00C72391"/>
    <w:rsid w:val="00C724E6"/>
    <w:rsid w:val="00C73547"/>
    <w:rsid w:val="00C73982"/>
    <w:rsid w:val="00C747A5"/>
    <w:rsid w:val="00C750A3"/>
    <w:rsid w:val="00C75943"/>
    <w:rsid w:val="00C85314"/>
    <w:rsid w:val="00C93E01"/>
    <w:rsid w:val="00C9407E"/>
    <w:rsid w:val="00C964A6"/>
    <w:rsid w:val="00CA0116"/>
    <w:rsid w:val="00CA1B59"/>
    <w:rsid w:val="00CA4BC0"/>
    <w:rsid w:val="00CA5CA8"/>
    <w:rsid w:val="00CA6607"/>
    <w:rsid w:val="00CB0157"/>
    <w:rsid w:val="00CB215F"/>
    <w:rsid w:val="00CB3124"/>
    <w:rsid w:val="00CB3222"/>
    <w:rsid w:val="00CB3745"/>
    <w:rsid w:val="00CB4ACE"/>
    <w:rsid w:val="00CB5205"/>
    <w:rsid w:val="00CB78B3"/>
    <w:rsid w:val="00CC212D"/>
    <w:rsid w:val="00CC559D"/>
    <w:rsid w:val="00CC7AAF"/>
    <w:rsid w:val="00CD1450"/>
    <w:rsid w:val="00CD654B"/>
    <w:rsid w:val="00CE223E"/>
    <w:rsid w:val="00CE30A9"/>
    <w:rsid w:val="00CE3E62"/>
    <w:rsid w:val="00CE4288"/>
    <w:rsid w:val="00CE51FA"/>
    <w:rsid w:val="00CE52A9"/>
    <w:rsid w:val="00CE5CF2"/>
    <w:rsid w:val="00CF1F48"/>
    <w:rsid w:val="00CF22DB"/>
    <w:rsid w:val="00CF3F0D"/>
    <w:rsid w:val="00D0160F"/>
    <w:rsid w:val="00D02297"/>
    <w:rsid w:val="00D06DC4"/>
    <w:rsid w:val="00D10C49"/>
    <w:rsid w:val="00D145F5"/>
    <w:rsid w:val="00D1466F"/>
    <w:rsid w:val="00D15C78"/>
    <w:rsid w:val="00D16A7C"/>
    <w:rsid w:val="00D16EA8"/>
    <w:rsid w:val="00D21D50"/>
    <w:rsid w:val="00D22783"/>
    <w:rsid w:val="00D26AF8"/>
    <w:rsid w:val="00D278C4"/>
    <w:rsid w:val="00D27E8E"/>
    <w:rsid w:val="00D306DC"/>
    <w:rsid w:val="00D312C0"/>
    <w:rsid w:val="00D313D3"/>
    <w:rsid w:val="00D355F0"/>
    <w:rsid w:val="00D40F07"/>
    <w:rsid w:val="00D41A98"/>
    <w:rsid w:val="00D43AC8"/>
    <w:rsid w:val="00D44852"/>
    <w:rsid w:val="00D477B7"/>
    <w:rsid w:val="00D47AFD"/>
    <w:rsid w:val="00D50F8C"/>
    <w:rsid w:val="00D533E0"/>
    <w:rsid w:val="00D5404B"/>
    <w:rsid w:val="00D56113"/>
    <w:rsid w:val="00D56192"/>
    <w:rsid w:val="00D62752"/>
    <w:rsid w:val="00D71245"/>
    <w:rsid w:val="00D74B63"/>
    <w:rsid w:val="00D7695C"/>
    <w:rsid w:val="00D773D0"/>
    <w:rsid w:val="00D80865"/>
    <w:rsid w:val="00D81B4C"/>
    <w:rsid w:val="00D82002"/>
    <w:rsid w:val="00D833D9"/>
    <w:rsid w:val="00D83BD9"/>
    <w:rsid w:val="00D93C6B"/>
    <w:rsid w:val="00D94DCF"/>
    <w:rsid w:val="00D94EAE"/>
    <w:rsid w:val="00D955F9"/>
    <w:rsid w:val="00D9564B"/>
    <w:rsid w:val="00DA07D5"/>
    <w:rsid w:val="00DA1588"/>
    <w:rsid w:val="00DA47A0"/>
    <w:rsid w:val="00DA57BA"/>
    <w:rsid w:val="00DA586F"/>
    <w:rsid w:val="00DB07A4"/>
    <w:rsid w:val="00DB08DA"/>
    <w:rsid w:val="00DB457C"/>
    <w:rsid w:val="00DB7F09"/>
    <w:rsid w:val="00DC00E8"/>
    <w:rsid w:val="00DC0739"/>
    <w:rsid w:val="00DC1C56"/>
    <w:rsid w:val="00DC4370"/>
    <w:rsid w:val="00DC4756"/>
    <w:rsid w:val="00DC6379"/>
    <w:rsid w:val="00DC77BA"/>
    <w:rsid w:val="00DC7B28"/>
    <w:rsid w:val="00DD0A51"/>
    <w:rsid w:val="00DD2EE1"/>
    <w:rsid w:val="00DD319F"/>
    <w:rsid w:val="00DD4C95"/>
    <w:rsid w:val="00DE3065"/>
    <w:rsid w:val="00DE3C77"/>
    <w:rsid w:val="00DF0420"/>
    <w:rsid w:val="00DF6152"/>
    <w:rsid w:val="00DF6F61"/>
    <w:rsid w:val="00DF74D8"/>
    <w:rsid w:val="00DF7591"/>
    <w:rsid w:val="00E0384D"/>
    <w:rsid w:val="00E03D56"/>
    <w:rsid w:val="00E040A3"/>
    <w:rsid w:val="00E06362"/>
    <w:rsid w:val="00E101C6"/>
    <w:rsid w:val="00E122EE"/>
    <w:rsid w:val="00E13049"/>
    <w:rsid w:val="00E14D35"/>
    <w:rsid w:val="00E15660"/>
    <w:rsid w:val="00E20A67"/>
    <w:rsid w:val="00E20DB4"/>
    <w:rsid w:val="00E22188"/>
    <w:rsid w:val="00E22D51"/>
    <w:rsid w:val="00E27F7C"/>
    <w:rsid w:val="00E306FB"/>
    <w:rsid w:val="00E31E7E"/>
    <w:rsid w:val="00E32927"/>
    <w:rsid w:val="00E33142"/>
    <w:rsid w:val="00E353D2"/>
    <w:rsid w:val="00E41948"/>
    <w:rsid w:val="00E44D45"/>
    <w:rsid w:val="00E45856"/>
    <w:rsid w:val="00E50E7C"/>
    <w:rsid w:val="00E51370"/>
    <w:rsid w:val="00E51545"/>
    <w:rsid w:val="00E51D9E"/>
    <w:rsid w:val="00E52995"/>
    <w:rsid w:val="00E537D1"/>
    <w:rsid w:val="00E53F33"/>
    <w:rsid w:val="00E567E6"/>
    <w:rsid w:val="00E56971"/>
    <w:rsid w:val="00E61484"/>
    <w:rsid w:val="00E61BFC"/>
    <w:rsid w:val="00E61C9D"/>
    <w:rsid w:val="00E63369"/>
    <w:rsid w:val="00E656E0"/>
    <w:rsid w:val="00E657B7"/>
    <w:rsid w:val="00E67540"/>
    <w:rsid w:val="00E711D7"/>
    <w:rsid w:val="00E712D3"/>
    <w:rsid w:val="00E71C0A"/>
    <w:rsid w:val="00E76154"/>
    <w:rsid w:val="00E815E1"/>
    <w:rsid w:val="00E8296A"/>
    <w:rsid w:val="00E83DDC"/>
    <w:rsid w:val="00E85525"/>
    <w:rsid w:val="00E869D2"/>
    <w:rsid w:val="00E902B0"/>
    <w:rsid w:val="00E902E8"/>
    <w:rsid w:val="00E92F0E"/>
    <w:rsid w:val="00E9412A"/>
    <w:rsid w:val="00E96E3C"/>
    <w:rsid w:val="00EA161A"/>
    <w:rsid w:val="00EA23AC"/>
    <w:rsid w:val="00EA49B3"/>
    <w:rsid w:val="00EA7C3D"/>
    <w:rsid w:val="00EB05CA"/>
    <w:rsid w:val="00EB0DC2"/>
    <w:rsid w:val="00EB2D92"/>
    <w:rsid w:val="00EB5B49"/>
    <w:rsid w:val="00EB6878"/>
    <w:rsid w:val="00EC1E0E"/>
    <w:rsid w:val="00EC236D"/>
    <w:rsid w:val="00EC299C"/>
    <w:rsid w:val="00EC6B16"/>
    <w:rsid w:val="00ED18BE"/>
    <w:rsid w:val="00ED1CFC"/>
    <w:rsid w:val="00ED21A0"/>
    <w:rsid w:val="00ED30D0"/>
    <w:rsid w:val="00ED3A90"/>
    <w:rsid w:val="00ED4BB6"/>
    <w:rsid w:val="00ED53E0"/>
    <w:rsid w:val="00EE1447"/>
    <w:rsid w:val="00EE19D6"/>
    <w:rsid w:val="00EE2B51"/>
    <w:rsid w:val="00EE4111"/>
    <w:rsid w:val="00EE44F5"/>
    <w:rsid w:val="00EE6757"/>
    <w:rsid w:val="00EF0728"/>
    <w:rsid w:val="00EF145E"/>
    <w:rsid w:val="00EF2BBB"/>
    <w:rsid w:val="00EF7BB3"/>
    <w:rsid w:val="00F0082D"/>
    <w:rsid w:val="00F015AB"/>
    <w:rsid w:val="00F056F7"/>
    <w:rsid w:val="00F05CA4"/>
    <w:rsid w:val="00F07C90"/>
    <w:rsid w:val="00F10271"/>
    <w:rsid w:val="00F10B8D"/>
    <w:rsid w:val="00F14773"/>
    <w:rsid w:val="00F15E18"/>
    <w:rsid w:val="00F166AB"/>
    <w:rsid w:val="00F167FC"/>
    <w:rsid w:val="00F17071"/>
    <w:rsid w:val="00F21E32"/>
    <w:rsid w:val="00F26192"/>
    <w:rsid w:val="00F26A2E"/>
    <w:rsid w:val="00F27635"/>
    <w:rsid w:val="00F27B52"/>
    <w:rsid w:val="00F327F9"/>
    <w:rsid w:val="00F359B8"/>
    <w:rsid w:val="00F362FA"/>
    <w:rsid w:val="00F36591"/>
    <w:rsid w:val="00F41531"/>
    <w:rsid w:val="00F437D0"/>
    <w:rsid w:val="00F4521C"/>
    <w:rsid w:val="00F45EC0"/>
    <w:rsid w:val="00F46C18"/>
    <w:rsid w:val="00F524A5"/>
    <w:rsid w:val="00F542D1"/>
    <w:rsid w:val="00F56585"/>
    <w:rsid w:val="00F5682B"/>
    <w:rsid w:val="00F56972"/>
    <w:rsid w:val="00F56B08"/>
    <w:rsid w:val="00F57BED"/>
    <w:rsid w:val="00F61077"/>
    <w:rsid w:val="00F6134F"/>
    <w:rsid w:val="00F62C9E"/>
    <w:rsid w:val="00F676AE"/>
    <w:rsid w:val="00F70AE1"/>
    <w:rsid w:val="00F70BCA"/>
    <w:rsid w:val="00F711DF"/>
    <w:rsid w:val="00F723EB"/>
    <w:rsid w:val="00F7295D"/>
    <w:rsid w:val="00F73951"/>
    <w:rsid w:val="00F73C84"/>
    <w:rsid w:val="00F7455A"/>
    <w:rsid w:val="00F74E14"/>
    <w:rsid w:val="00F7613A"/>
    <w:rsid w:val="00F76813"/>
    <w:rsid w:val="00F82746"/>
    <w:rsid w:val="00F836F9"/>
    <w:rsid w:val="00F845D7"/>
    <w:rsid w:val="00F861B5"/>
    <w:rsid w:val="00F878AA"/>
    <w:rsid w:val="00F92279"/>
    <w:rsid w:val="00F95D64"/>
    <w:rsid w:val="00F96145"/>
    <w:rsid w:val="00F975F6"/>
    <w:rsid w:val="00FA5E2D"/>
    <w:rsid w:val="00FA76E2"/>
    <w:rsid w:val="00FB1990"/>
    <w:rsid w:val="00FB4D21"/>
    <w:rsid w:val="00FB670D"/>
    <w:rsid w:val="00FB7622"/>
    <w:rsid w:val="00FB762B"/>
    <w:rsid w:val="00FB79E5"/>
    <w:rsid w:val="00FC3978"/>
    <w:rsid w:val="00FC45F0"/>
    <w:rsid w:val="00FC6ADA"/>
    <w:rsid w:val="00FD0B3F"/>
    <w:rsid w:val="00FD2AA9"/>
    <w:rsid w:val="00FD3E75"/>
    <w:rsid w:val="00FD54DE"/>
    <w:rsid w:val="00FD55D2"/>
    <w:rsid w:val="00FD7AA2"/>
    <w:rsid w:val="00FE1C4D"/>
    <w:rsid w:val="00FE44B9"/>
    <w:rsid w:val="00FE4F31"/>
    <w:rsid w:val="00FE5D9E"/>
    <w:rsid w:val="00FF16FF"/>
    <w:rsid w:val="00FF2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C9799"/>
  <w15:docId w15:val="{C0AA452C-386F-4244-AA83-953A0ABF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D9"/>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40822"/>
    <w:pPr>
      <w:spacing w:before="240"/>
      <w:outlineLvl w:val="0"/>
    </w:pPr>
    <w:rPr>
      <w:bCs w:val="0"/>
      <w:color w:val="C00000"/>
    </w:rPr>
  </w:style>
  <w:style w:type="paragraph" w:styleId="Heading2">
    <w:name w:val="heading 2"/>
    <w:basedOn w:val="HeadingBase"/>
    <w:next w:val="Normal"/>
    <w:link w:val="Heading2Char"/>
    <w:qFormat/>
    <w:rsid w:val="00043A4B"/>
    <w:pPr>
      <w:spacing w:before="360"/>
      <w:outlineLvl w:val="1"/>
    </w:pPr>
    <w:rPr>
      <w:bCs w:val="0"/>
      <w:iCs/>
      <w:color w:val="C00000"/>
      <w:sz w:val="36"/>
      <w:szCs w:val="28"/>
    </w:rPr>
  </w:style>
  <w:style w:type="paragraph" w:styleId="Heading3">
    <w:name w:val="heading 3"/>
    <w:basedOn w:val="HeadingBase"/>
    <w:next w:val="Normal"/>
    <w:link w:val="Heading3Char"/>
    <w:qFormat/>
    <w:rsid w:val="00043A4B"/>
    <w:pPr>
      <w:spacing w:before="240"/>
      <w:outlineLvl w:val="2"/>
    </w:pPr>
    <w:rPr>
      <w:bCs w:val="0"/>
      <w:color w:val="002060"/>
      <w:sz w:val="28"/>
      <w:szCs w:val="26"/>
    </w:rPr>
  </w:style>
  <w:style w:type="paragraph" w:styleId="Heading4">
    <w:name w:val="heading 4"/>
    <w:basedOn w:val="HeadingBase"/>
    <w:next w:val="Normal"/>
    <w:link w:val="Heading4Char"/>
    <w:qFormat/>
    <w:rsid w:val="00043A4B"/>
    <w:pPr>
      <w:outlineLvl w:val="3"/>
    </w:pPr>
    <w:rPr>
      <w:bCs w:val="0"/>
      <w:color w:val="002060"/>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22"/>
    <w:rPr>
      <w:rFonts w:ascii="Calibri" w:eastAsia="Times New Roman" w:hAnsi="Calibri" w:cs="Arial"/>
      <w:color w:val="C00000"/>
      <w:kern w:val="32"/>
      <w:sz w:val="48"/>
      <w:szCs w:val="36"/>
      <w:lang w:eastAsia="en-AU"/>
    </w:rPr>
  </w:style>
  <w:style w:type="character" w:customStyle="1" w:styleId="Heading2Char">
    <w:name w:val="Heading 2 Char"/>
    <w:basedOn w:val="DefaultParagraphFont"/>
    <w:link w:val="Heading2"/>
    <w:rsid w:val="00043A4B"/>
    <w:rPr>
      <w:rFonts w:ascii="Calibri" w:eastAsia="Times New Roman" w:hAnsi="Calibri" w:cs="Arial"/>
      <w:iCs/>
      <w:color w:val="C00000"/>
      <w:kern w:val="32"/>
      <w:sz w:val="36"/>
      <w:szCs w:val="28"/>
      <w:lang w:eastAsia="en-AU"/>
    </w:rPr>
  </w:style>
  <w:style w:type="character" w:customStyle="1" w:styleId="Heading3Char">
    <w:name w:val="Heading 3 Char"/>
    <w:basedOn w:val="DefaultParagraphFont"/>
    <w:link w:val="Heading3"/>
    <w:rsid w:val="00043A4B"/>
    <w:rPr>
      <w:rFonts w:ascii="Calibri" w:eastAsia="Times New Roman" w:hAnsi="Calibri" w:cs="Arial"/>
      <w:color w:val="002060"/>
      <w:kern w:val="32"/>
      <w:sz w:val="28"/>
      <w:szCs w:val="26"/>
      <w:lang w:eastAsia="en-AU"/>
    </w:rPr>
  </w:style>
  <w:style w:type="character" w:customStyle="1" w:styleId="Heading4Char">
    <w:name w:val="Heading 4 Char"/>
    <w:basedOn w:val="DefaultParagraphFont"/>
    <w:link w:val="Heading4"/>
    <w:rsid w:val="00043A4B"/>
    <w:rPr>
      <w:rFonts w:ascii="Calibri" w:eastAsia="Times New Roman" w:hAnsi="Calibri" w:cs="Arial"/>
      <w:color w:val="002060"/>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857B7"/>
    <w:pPr>
      <w:keepNext/>
      <w:spacing w:before="0" w:after="360"/>
      <w:ind w:right="139"/>
      <w:jc w:val="right"/>
    </w:pPr>
    <w:rPr>
      <w:color w:val="FFFFFF" w:themeColor="background1"/>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43A4B"/>
    <w:pPr>
      <w:keepNext/>
      <w:tabs>
        <w:tab w:val="clear" w:pos="4513"/>
        <w:tab w:val="clear" w:pos="9026"/>
      </w:tabs>
      <w:jc w:val="left"/>
    </w:pPr>
    <w:rPr>
      <w:noProof/>
      <w:color w:val="002060"/>
      <w:sz w:val="22"/>
    </w:rPr>
  </w:style>
  <w:style w:type="paragraph" w:customStyle="1" w:styleId="FooterOdd">
    <w:name w:val="Footer Odd"/>
    <w:basedOn w:val="Footer"/>
    <w:rsid w:val="00043A4B"/>
    <w:pPr>
      <w:keepNext/>
      <w:tabs>
        <w:tab w:val="clear" w:pos="4513"/>
        <w:tab w:val="clear" w:pos="9026"/>
      </w:tabs>
      <w:jc w:val="right"/>
    </w:pPr>
    <w:rPr>
      <w:color w:val="002060"/>
      <w:sz w:val="22"/>
    </w:r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DF7591"/>
    <w:pPr>
      <w:jc w:val="center"/>
    </w:pPr>
    <w:rPr>
      <w:b/>
      <w:color w:val="C00000"/>
      <w:sz w:val="28"/>
    </w:rPr>
  </w:style>
  <w:style w:type="paragraph" w:customStyle="1" w:styleId="TableColumnHeadingLeft">
    <w:name w:val="Table Column Heading Left"/>
    <w:basedOn w:val="TableTextLeft"/>
    <w:rsid w:val="00DF7591"/>
    <w:rPr>
      <w:b/>
      <w:color w:val="002060"/>
      <w:sz w:val="24"/>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92238"/>
    <w:pPr>
      <w:jc w:val="left"/>
    </w:pPr>
    <w:rPr>
      <w:sz w:val="22"/>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B37C6C"/>
    <w:pPr>
      <w:keepNext/>
      <w:tabs>
        <w:tab w:val="right" w:leader="dot" w:pos="9072"/>
      </w:tabs>
      <w:spacing w:before="180" w:after="0"/>
      <w:ind w:right="-2"/>
    </w:pPr>
    <w:rPr>
      <w:b/>
      <w:noProof/>
      <w:color w:val="002060"/>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857B7"/>
    <w:pPr>
      <w:spacing w:before="0"/>
      <w:contextualSpacing/>
      <w:jc w:val="right"/>
    </w:pPr>
    <w:rPr>
      <w:rFonts w:eastAsiaTheme="majorEastAsia" w:cstheme="majorBidi"/>
      <w:caps/>
      <w:color w:val="002060"/>
      <w:spacing w:val="5"/>
      <w:kern w:val="28"/>
      <w:sz w:val="64"/>
      <w:szCs w:val="52"/>
    </w:rPr>
  </w:style>
  <w:style w:type="character" w:customStyle="1" w:styleId="TitleChar">
    <w:name w:val="Title Char"/>
    <w:basedOn w:val="DefaultParagraphFont"/>
    <w:link w:val="Title"/>
    <w:uiPriority w:val="10"/>
    <w:rsid w:val="003857B7"/>
    <w:rPr>
      <w:rFonts w:ascii="Calibri" w:eastAsiaTheme="majorEastAsia" w:hAnsi="Calibri" w:cstheme="majorBidi"/>
      <w:caps/>
      <w:color w:val="002060"/>
      <w:spacing w:val="5"/>
      <w:kern w:val="28"/>
      <w:sz w:val="64"/>
      <w:szCs w:val="52"/>
      <w:lang w:eastAsia="en-AU"/>
    </w:rPr>
  </w:style>
  <w:style w:type="paragraph" w:styleId="Subtitle">
    <w:name w:val="Subtitle"/>
    <w:basedOn w:val="Normal"/>
    <w:next w:val="Normal"/>
    <w:link w:val="SubtitleChar"/>
    <w:uiPriority w:val="11"/>
    <w:qFormat/>
    <w:rsid w:val="003857B7"/>
    <w:pPr>
      <w:numPr>
        <w:ilvl w:val="1"/>
      </w:numPr>
      <w:jc w:val="right"/>
    </w:pPr>
    <w:rPr>
      <w:rFonts w:eastAsiaTheme="majorEastAsia" w:cstheme="majorBidi"/>
      <w:iCs/>
      <w:color w:val="595959" w:themeColor="text1" w:themeTint="A6"/>
      <w:sz w:val="44"/>
      <w:szCs w:val="44"/>
    </w:rPr>
  </w:style>
  <w:style w:type="character" w:customStyle="1" w:styleId="SubtitleChar">
    <w:name w:val="Subtitle Char"/>
    <w:basedOn w:val="DefaultParagraphFont"/>
    <w:link w:val="Subtitle"/>
    <w:uiPriority w:val="11"/>
    <w:rsid w:val="003857B7"/>
    <w:rPr>
      <w:rFonts w:ascii="Calibri" w:eastAsiaTheme="majorEastAsia" w:hAnsi="Calibri" w:cstheme="majorBidi"/>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3857B7"/>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Introductionparagraph">
    <w:name w:val="Introduction paragraph"/>
    <w:basedOn w:val="Normal"/>
    <w:qFormat/>
    <w:rsid w:val="00092238"/>
    <w:pPr>
      <w:spacing w:after="240"/>
    </w:pPr>
    <w:rPr>
      <w:color w:val="002060"/>
      <w:sz w:val="28"/>
      <w:szCs w:val="32"/>
    </w:rPr>
  </w:style>
  <w:style w:type="paragraph" w:styleId="ListParagraph">
    <w:name w:val="List Paragraph"/>
    <w:basedOn w:val="Normal"/>
    <w:uiPriority w:val="34"/>
    <w:qFormat/>
    <w:rsid w:val="00A7467F"/>
    <w:pPr>
      <w:spacing w:before="0" w:after="0"/>
      <w:ind w:left="720"/>
    </w:pPr>
    <w:rPr>
      <w:szCs w:val="22"/>
      <w:lang w:eastAsia="en-US"/>
    </w:rPr>
  </w:style>
  <w:style w:type="paragraph" w:customStyle="1" w:styleId="SingleParagraph0">
    <w:name w:val="SingleParagraph"/>
    <w:basedOn w:val="Normal"/>
    <w:next w:val="Normal"/>
    <w:rsid w:val="00A7467F"/>
    <w:pPr>
      <w:keepNext/>
      <w:spacing w:before="0" w:after="0"/>
      <w:jc w:val="both"/>
    </w:pPr>
    <w:rPr>
      <w:rFonts w:ascii="Book Antiqua" w:hAnsi="Book Antiqua"/>
      <w:color w:val="000000"/>
      <w:sz w:val="20"/>
    </w:rPr>
  </w:style>
  <w:style w:type="paragraph" w:customStyle="1" w:styleId="TESHeading5">
    <w:name w:val="TES Heading 5"/>
    <w:basedOn w:val="Normal"/>
    <w:next w:val="Normal"/>
    <w:rsid w:val="00A7467F"/>
    <w:pPr>
      <w:keepNext/>
      <w:tabs>
        <w:tab w:val="left" w:pos="567"/>
      </w:tabs>
      <w:spacing w:before="240"/>
      <w:ind w:left="567" w:hanging="567"/>
    </w:pPr>
    <w:rPr>
      <w:rFonts w:ascii="Arial" w:hAnsi="Arial"/>
      <w:b/>
      <w:sz w:val="20"/>
    </w:rPr>
  </w:style>
  <w:style w:type="character" w:customStyle="1" w:styleId="BulletChar">
    <w:name w:val="Bullet Char"/>
    <w:link w:val="Bullet"/>
    <w:rsid w:val="00A7467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7467F"/>
    <w:rPr>
      <w:sz w:val="16"/>
      <w:szCs w:val="16"/>
    </w:rPr>
  </w:style>
  <w:style w:type="paragraph" w:styleId="CommentText">
    <w:name w:val="annotation text"/>
    <w:basedOn w:val="Normal"/>
    <w:link w:val="CommentTextChar"/>
    <w:uiPriority w:val="99"/>
    <w:unhideWhenUsed/>
    <w:rsid w:val="00A7467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7467F"/>
    <w:rPr>
      <w:sz w:val="20"/>
      <w:szCs w:val="20"/>
    </w:rPr>
  </w:style>
  <w:style w:type="paragraph" w:customStyle="1" w:styleId="SecurityClassificationHeader">
    <w:name w:val="Security Classification Header"/>
    <w:link w:val="SecurityClassificationHead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A24FB1"/>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A24FB1"/>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A24FB1"/>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A24FB1"/>
    <w:rPr>
      <w:rFonts w:ascii="Calibri" w:eastAsia="Times New Roman" w:hAnsi="Calibri" w:cs="Times New Roman"/>
      <w:b/>
      <w:caps/>
      <w:color w:val="004A7F"/>
      <w:sz w:val="24"/>
      <w:szCs w:val="20"/>
      <w:lang w:eastAsia="en-AU"/>
    </w:rPr>
  </w:style>
  <w:style w:type="paragraph" w:styleId="CommentSubject">
    <w:name w:val="annotation subject"/>
    <w:basedOn w:val="CommentText"/>
    <w:next w:val="CommentText"/>
    <w:link w:val="CommentSubjectChar"/>
    <w:uiPriority w:val="99"/>
    <w:semiHidden/>
    <w:unhideWhenUsed/>
    <w:rsid w:val="00F878A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878AA"/>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7975B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7975BB"/>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140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5388">
      <w:bodyDiv w:val="1"/>
      <w:marLeft w:val="0"/>
      <w:marRight w:val="0"/>
      <w:marTop w:val="0"/>
      <w:marBottom w:val="0"/>
      <w:divBdr>
        <w:top w:val="none" w:sz="0" w:space="0" w:color="auto"/>
        <w:left w:val="none" w:sz="0" w:space="0" w:color="auto"/>
        <w:bottom w:val="none" w:sz="0" w:space="0" w:color="auto"/>
        <w:right w:val="none" w:sz="0" w:space="0" w:color="auto"/>
      </w:divBdr>
    </w:div>
    <w:div w:id="279145611">
      <w:bodyDiv w:val="1"/>
      <w:marLeft w:val="0"/>
      <w:marRight w:val="0"/>
      <w:marTop w:val="0"/>
      <w:marBottom w:val="0"/>
      <w:divBdr>
        <w:top w:val="none" w:sz="0" w:space="0" w:color="auto"/>
        <w:left w:val="none" w:sz="0" w:space="0" w:color="auto"/>
        <w:bottom w:val="none" w:sz="0" w:space="0" w:color="auto"/>
        <w:right w:val="none" w:sz="0" w:space="0" w:color="auto"/>
      </w:divBdr>
    </w:div>
    <w:div w:id="400251306">
      <w:bodyDiv w:val="1"/>
      <w:marLeft w:val="0"/>
      <w:marRight w:val="0"/>
      <w:marTop w:val="0"/>
      <w:marBottom w:val="0"/>
      <w:divBdr>
        <w:top w:val="none" w:sz="0" w:space="0" w:color="auto"/>
        <w:left w:val="none" w:sz="0" w:space="0" w:color="auto"/>
        <w:bottom w:val="none" w:sz="0" w:space="0" w:color="auto"/>
        <w:right w:val="none" w:sz="0" w:space="0" w:color="auto"/>
      </w:divBdr>
    </w:div>
    <w:div w:id="413472718">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3334356">
      <w:bodyDiv w:val="1"/>
      <w:marLeft w:val="0"/>
      <w:marRight w:val="0"/>
      <w:marTop w:val="0"/>
      <w:marBottom w:val="0"/>
      <w:divBdr>
        <w:top w:val="none" w:sz="0" w:space="0" w:color="auto"/>
        <w:left w:val="none" w:sz="0" w:space="0" w:color="auto"/>
        <w:bottom w:val="none" w:sz="0" w:space="0" w:color="auto"/>
        <w:right w:val="none" w:sz="0" w:space="0" w:color="auto"/>
      </w:divBdr>
    </w:div>
    <w:div w:id="467476162">
      <w:bodyDiv w:val="1"/>
      <w:marLeft w:val="0"/>
      <w:marRight w:val="0"/>
      <w:marTop w:val="0"/>
      <w:marBottom w:val="0"/>
      <w:divBdr>
        <w:top w:val="none" w:sz="0" w:space="0" w:color="auto"/>
        <w:left w:val="none" w:sz="0" w:space="0" w:color="auto"/>
        <w:bottom w:val="none" w:sz="0" w:space="0" w:color="auto"/>
        <w:right w:val="none" w:sz="0" w:space="0" w:color="auto"/>
      </w:divBdr>
    </w:div>
    <w:div w:id="494305023">
      <w:bodyDiv w:val="1"/>
      <w:marLeft w:val="0"/>
      <w:marRight w:val="0"/>
      <w:marTop w:val="0"/>
      <w:marBottom w:val="0"/>
      <w:divBdr>
        <w:top w:val="none" w:sz="0" w:space="0" w:color="auto"/>
        <w:left w:val="none" w:sz="0" w:space="0" w:color="auto"/>
        <w:bottom w:val="none" w:sz="0" w:space="0" w:color="auto"/>
        <w:right w:val="none" w:sz="0" w:space="0" w:color="auto"/>
      </w:divBdr>
    </w:div>
    <w:div w:id="514618255">
      <w:bodyDiv w:val="1"/>
      <w:marLeft w:val="0"/>
      <w:marRight w:val="0"/>
      <w:marTop w:val="0"/>
      <w:marBottom w:val="0"/>
      <w:divBdr>
        <w:top w:val="none" w:sz="0" w:space="0" w:color="auto"/>
        <w:left w:val="none" w:sz="0" w:space="0" w:color="auto"/>
        <w:bottom w:val="none" w:sz="0" w:space="0" w:color="auto"/>
        <w:right w:val="none" w:sz="0" w:space="0" w:color="auto"/>
      </w:divBdr>
    </w:div>
    <w:div w:id="583346807">
      <w:bodyDiv w:val="1"/>
      <w:marLeft w:val="0"/>
      <w:marRight w:val="0"/>
      <w:marTop w:val="0"/>
      <w:marBottom w:val="0"/>
      <w:divBdr>
        <w:top w:val="none" w:sz="0" w:space="0" w:color="auto"/>
        <w:left w:val="none" w:sz="0" w:space="0" w:color="auto"/>
        <w:bottom w:val="none" w:sz="0" w:space="0" w:color="auto"/>
        <w:right w:val="none" w:sz="0" w:space="0" w:color="auto"/>
      </w:divBdr>
    </w:div>
    <w:div w:id="588273355">
      <w:bodyDiv w:val="1"/>
      <w:marLeft w:val="0"/>
      <w:marRight w:val="0"/>
      <w:marTop w:val="0"/>
      <w:marBottom w:val="0"/>
      <w:divBdr>
        <w:top w:val="none" w:sz="0" w:space="0" w:color="auto"/>
        <w:left w:val="none" w:sz="0" w:space="0" w:color="auto"/>
        <w:bottom w:val="none" w:sz="0" w:space="0" w:color="auto"/>
        <w:right w:val="none" w:sz="0" w:space="0" w:color="auto"/>
      </w:divBdr>
    </w:div>
    <w:div w:id="602760344">
      <w:bodyDiv w:val="1"/>
      <w:marLeft w:val="0"/>
      <w:marRight w:val="0"/>
      <w:marTop w:val="0"/>
      <w:marBottom w:val="0"/>
      <w:divBdr>
        <w:top w:val="none" w:sz="0" w:space="0" w:color="auto"/>
        <w:left w:val="none" w:sz="0" w:space="0" w:color="auto"/>
        <w:bottom w:val="none" w:sz="0" w:space="0" w:color="auto"/>
        <w:right w:val="none" w:sz="0" w:space="0" w:color="auto"/>
      </w:divBdr>
    </w:div>
    <w:div w:id="620723956">
      <w:bodyDiv w:val="1"/>
      <w:marLeft w:val="0"/>
      <w:marRight w:val="0"/>
      <w:marTop w:val="0"/>
      <w:marBottom w:val="0"/>
      <w:divBdr>
        <w:top w:val="none" w:sz="0" w:space="0" w:color="auto"/>
        <w:left w:val="none" w:sz="0" w:space="0" w:color="auto"/>
        <w:bottom w:val="none" w:sz="0" w:space="0" w:color="auto"/>
        <w:right w:val="none" w:sz="0" w:space="0" w:color="auto"/>
      </w:divBdr>
    </w:div>
    <w:div w:id="659776274">
      <w:bodyDiv w:val="1"/>
      <w:marLeft w:val="0"/>
      <w:marRight w:val="0"/>
      <w:marTop w:val="0"/>
      <w:marBottom w:val="0"/>
      <w:divBdr>
        <w:top w:val="none" w:sz="0" w:space="0" w:color="auto"/>
        <w:left w:val="none" w:sz="0" w:space="0" w:color="auto"/>
        <w:bottom w:val="none" w:sz="0" w:space="0" w:color="auto"/>
        <w:right w:val="none" w:sz="0" w:space="0" w:color="auto"/>
      </w:divBdr>
    </w:div>
    <w:div w:id="665747447">
      <w:bodyDiv w:val="1"/>
      <w:marLeft w:val="0"/>
      <w:marRight w:val="0"/>
      <w:marTop w:val="0"/>
      <w:marBottom w:val="0"/>
      <w:divBdr>
        <w:top w:val="none" w:sz="0" w:space="0" w:color="auto"/>
        <w:left w:val="none" w:sz="0" w:space="0" w:color="auto"/>
        <w:bottom w:val="none" w:sz="0" w:space="0" w:color="auto"/>
        <w:right w:val="none" w:sz="0" w:space="0" w:color="auto"/>
      </w:divBdr>
    </w:div>
    <w:div w:id="727260887">
      <w:bodyDiv w:val="1"/>
      <w:marLeft w:val="0"/>
      <w:marRight w:val="0"/>
      <w:marTop w:val="0"/>
      <w:marBottom w:val="0"/>
      <w:divBdr>
        <w:top w:val="none" w:sz="0" w:space="0" w:color="auto"/>
        <w:left w:val="none" w:sz="0" w:space="0" w:color="auto"/>
        <w:bottom w:val="none" w:sz="0" w:space="0" w:color="auto"/>
        <w:right w:val="none" w:sz="0" w:space="0" w:color="auto"/>
      </w:divBdr>
    </w:div>
    <w:div w:id="776871881">
      <w:bodyDiv w:val="1"/>
      <w:marLeft w:val="0"/>
      <w:marRight w:val="0"/>
      <w:marTop w:val="0"/>
      <w:marBottom w:val="0"/>
      <w:divBdr>
        <w:top w:val="none" w:sz="0" w:space="0" w:color="auto"/>
        <w:left w:val="none" w:sz="0" w:space="0" w:color="auto"/>
        <w:bottom w:val="none" w:sz="0" w:space="0" w:color="auto"/>
        <w:right w:val="none" w:sz="0" w:space="0" w:color="auto"/>
      </w:divBdr>
    </w:div>
    <w:div w:id="779183629">
      <w:bodyDiv w:val="1"/>
      <w:marLeft w:val="0"/>
      <w:marRight w:val="0"/>
      <w:marTop w:val="0"/>
      <w:marBottom w:val="0"/>
      <w:divBdr>
        <w:top w:val="none" w:sz="0" w:space="0" w:color="auto"/>
        <w:left w:val="none" w:sz="0" w:space="0" w:color="auto"/>
        <w:bottom w:val="none" w:sz="0" w:space="0" w:color="auto"/>
        <w:right w:val="none" w:sz="0" w:space="0" w:color="auto"/>
      </w:divBdr>
    </w:div>
    <w:div w:id="898327663">
      <w:bodyDiv w:val="1"/>
      <w:marLeft w:val="0"/>
      <w:marRight w:val="0"/>
      <w:marTop w:val="0"/>
      <w:marBottom w:val="0"/>
      <w:divBdr>
        <w:top w:val="none" w:sz="0" w:space="0" w:color="auto"/>
        <w:left w:val="none" w:sz="0" w:space="0" w:color="auto"/>
        <w:bottom w:val="none" w:sz="0" w:space="0" w:color="auto"/>
        <w:right w:val="none" w:sz="0" w:space="0" w:color="auto"/>
      </w:divBdr>
    </w:div>
    <w:div w:id="936451555">
      <w:bodyDiv w:val="1"/>
      <w:marLeft w:val="0"/>
      <w:marRight w:val="0"/>
      <w:marTop w:val="0"/>
      <w:marBottom w:val="0"/>
      <w:divBdr>
        <w:top w:val="none" w:sz="0" w:space="0" w:color="auto"/>
        <w:left w:val="none" w:sz="0" w:space="0" w:color="auto"/>
        <w:bottom w:val="none" w:sz="0" w:space="0" w:color="auto"/>
        <w:right w:val="none" w:sz="0" w:space="0" w:color="auto"/>
      </w:divBdr>
      <w:divsChild>
        <w:div w:id="1641153994">
          <w:marLeft w:val="446"/>
          <w:marRight w:val="0"/>
          <w:marTop w:val="0"/>
          <w:marBottom w:val="0"/>
          <w:divBdr>
            <w:top w:val="none" w:sz="0" w:space="0" w:color="auto"/>
            <w:left w:val="none" w:sz="0" w:space="0" w:color="auto"/>
            <w:bottom w:val="none" w:sz="0" w:space="0" w:color="auto"/>
            <w:right w:val="none" w:sz="0" w:space="0" w:color="auto"/>
          </w:divBdr>
        </w:div>
        <w:div w:id="192694941">
          <w:marLeft w:val="446"/>
          <w:marRight w:val="0"/>
          <w:marTop w:val="0"/>
          <w:marBottom w:val="0"/>
          <w:divBdr>
            <w:top w:val="none" w:sz="0" w:space="0" w:color="auto"/>
            <w:left w:val="none" w:sz="0" w:space="0" w:color="auto"/>
            <w:bottom w:val="none" w:sz="0" w:space="0" w:color="auto"/>
            <w:right w:val="none" w:sz="0" w:space="0" w:color="auto"/>
          </w:divBdr>
        </w:div>
        <w:div w:id="587081181">
          <w:marLeft w:val="360"/>
          <w:marRight w:val="0"/>
          <w:marTop w:val="0"/>
          <w:marBottom w:val="0"/>
          <w:divBdr>
            <w:top w:val="none" w:sz="0" w:space="0" w:color="auto"/>
            <w:left w:val="none" w:sz="0" w:space="0" w:color="auto"/>
            <w:bottom w:val="none" w:sz="0" w:space="0" w:color="auto"/>
            <w:right w:val="none" w:sz="0" w:space="0" w:color="auto"/>
          </w:divBdr>
        </w:div>
        <w:div w:id="1128399306">
          <w:marLeft w:val="360"/>
          <w:marRight w:val="0"/>
          <w:marTop w:val="0"/>
          <w:marBottom w:val="0"/>
          <w:divBdr>
            <w:top w:val="none" w:sz="0" w:space="0" w:color="auto"/>
            <w:left w:val="none" w:sz="0" w:space="0" w:color="auto"/>
            <w:bottom w:val="none" w:sz="0" w:space="0" w:color="auto"/>
            <w:right w:val="none" w:sz="0" w:space="0" w:color="auto"/>
          </w:divBdr>
        </w:div>
        <w:div w:id="1508591155">
          <w:marLeft w:val="360"/>
          <w:marRight w:val="0"/>
          <w:marTop w:val="0"/>
          <w:marBottom w:val="0"/>
          <w:divBdr>
            <w:top w:val="none" w:sz="0" w:space="0" w:color="auto"/>
            <w:left w:val="none" w:sz="0" w:space="0" w:color="auto"/>
            <w:bottom w:val="none" w:sz="0" w:space="0" w:color="auto"/>
            <w:right w:val="none" w:sz="0" w:space="0" w:color="auto"/>
          </w:divBdr>
        </w:div>
        <w:div w:id="263340438">
          <w:marLeft w:val="1166"/>
          <w:marRight w:val="0"/>
          <w:marTop w:val="0"/>
          <w:marBottom w:val="0"/>
          <w:divBdr>
            <w:top w:val="none" w:sz="0" w:space="0" w:color="auto"/>
            <w:left w:val="none" w:sz="0" w:space="0" w:color="auto"/>
            <w:bottom w:val="none" w:sz="0" w:space="0" w:color="auto"/>
            <w:right w:val="none" w:sz="0" w:space="0" w:color="auto"/>
          </w:divBdr>
        </w:div>
        <w:div w:id="1803959707">
          <w:marLeft w:val="1166"/>
          <w:marRight w:val="0"/>
          <w:marTop w:val="0"/>
          <w:marBottom w:val="0"/>
          <w:divBdr>
            <w:top w:val="none" w:sz="0" w:space="0" w:color="auto"/>
            <w:left w:val="none" w:sz="0" w:space="0" w:color="auto"/>
            <w:bottom w:val="none" w:sz="0" w:space="0" w:color="auto"/>
            <w:right w:val="none" w:sz="0" w:space="0" w:color="auto"/>
          </w:divBdr>
        </w:div>
        <w:div w:id="119417726">
          <w:marLeft w:val="446"/>
          <w:marRight w:val="0"/>
          <w:marTop w:val="0"/>
          <w:marBottom w:val="0"/>
          <w:divBdr>
            <w:top w:val="none" w:sz="0" w:space="0" w:color="auto"/>
            <w:left w:val="none" w:sz="0" w:space="0" w:color="auto"/>
            <w:bottom w:val="none" w:sz="0" w:space="0" w:color="auto"/>
            <w:right w:val="none" w:sz="0" w:space="0" w:color="auto"/>
          </w:divBdr>
        </w:div>
        <w:div w:id="1090084742">
          <w:marLeft w:val="446"/>
          <w:marRight w:val="0"/>
          <w:marTop w:val="0"/>
          <w:marBottom w:val="0"/>
          <w:divBdr>
            <w:top w:val="none" w:sz="0" w:space="0" w:color="auto"/>
            <w:left w:val="none" w:sz="0" w:space="0" w:color="auto"/>
            <w:bottom w:val="none" w:sz="0" w:space="0" w:color="auto"/>
            <w:right w:val="none" w:sz="0" w:space="0" w:color="auto"/>
          </w:divBdr>
        </w:div>
      </w:divsChild>
    </w:div>
    <w:div w:id="1075736463">
      <w:bodyDiv w:val="1"/>
      <w:marLeft w:val="0"/>
      <w:marRight w:val="0"/>
      <w:marTop w:val="0"/>
      <w:marBottom w:val="0"/>
      <w:divBdr>
        <w:top w:val="none" w:sz="0" w:space="0" w:color="auto"/>
        <w:left w:val="none" w:sz="0" w:space="0" w:color="auto"/>
        <w:bottom w:val="none" w:sz="0" w:space="0" w:color="auto"/>
        <w:right w:val="none" w:sz="0" w:space="0" w:color="auto"/>
      </w:divBdr>
      <w:divsChild>
        <w:div w:id="1348405775">
          <w:marLeft w:val="446"/>
          <w:marRight w:val="0"/>
          <w:marTop w:val="0"/>
          <w:marBottom w:val="0"/>
          <w:divBdr>
            <w:top w:val="none" w:sz="0" w:space="0" w:color="auto"/>
            <w:left w:val="none" w:sz="0" w:space="0" w:color="auto"/>
            <w:bottom w:val="none" w:sz="0" w:space="0" w:color="auto"/>
            <w:right w:val="none" w:sz="0" w:space="0" w:color="auto"/>
          </w:divBdr>
        </w:div>
        <w:div w:id="1708294074">
          <w:marLeft w:val="446"/>
          <w:marRight w:val="0"/>
          <w:marTop w:val="0"/>
          <w:marBottom w:val="0"/>
          <w:divBdr>
            <w:top w:val="none" w:sz="0" w:space="0" w:color="auto"/>
            <w:left w:val="none" w:sz="0" w:space="0" w:color="auto"/>
            <w:bottom w:val="none" w:sz="0" w:space="0" w:color="auto"/>
            <w:right w:val="none" w:sz="0" w:space="0" w:color="auto"/>
          </w:divBdr>
        </w:div>
        <w:div w:id="969168706">
          <w:marLeft w:val="360"/>
          <w:marRight w:val="0"/>
          <w:marTop w:val="0"/>
          <w:marBottom w:val="0"/>
          <w:divBdr>
            <w:top w:val="none" w:sz="0" w:space="0" w:color="auto"/>
            <w:left w:val="none" w:sz="0" w:space="0" w:color="auto"/>
            <w:bottom w:val="none" w:sz="0" w:space="0" w:color="auto"/>
            <w:right w:val="none" w:sz="0" w:space="0" w:color="auto"/>
          </w:divBdr>
        </w:div>
        <w:div w:id="2103793173">
          <w:marLeft w:val="360"/>
          <w:marRight w:val="0"/>
          <w:marTop w:val="0"/>
          <w:marBottom w:val="0"/>
          <w:divBdr>
            <w:top w:val="none" w:sz="0" w:space="0" w:color="auto"/>
            <w:left w:val="none" w:sz="0" w:space="0" w:color="auto"/>
            <w:bottom w:val="none" w:sz="0" w:space="0" w:color="auto"/>
            <w:right w:val="none" w:sz="0" w:space="0" w:color="auto"/>
          </w:divBdr>
        </w:div>
        <w:div w:id="60568591">
          <w:marLeft w:val="360"/>
          <w:marRight w:val="0"/>
          <w:marTop w:val="0"/>
          <w:marBottom w:val="0"/>
          <w:divBdr>
            <w:top w:val="none" w:sz="0" w:space="0" w:color="auto"/>
            <w:left w:val="none" w:sz="0" w:space="0" w:color="auto"/>
            <w:bottom w:val="none" w:sz="0" w:space="0" w:color="auto"/>
            <w:right w:val="none" w:sz="0" w:space="0" w:color="auto"/>
          </w:divBdr>
        </w:div>
        <w:div w:id="1691030821">
          <w:marLeft w:val="1166"/>
          <w:marRight w:val="0"/>
          <w:marTop w:val="0"/>
          <w:marBottom w:val="0"/>
          <w:divBdr>
            <w:top w:val="none" w:sz="0" w:space="0" w:color="auto"/>
            <w:left w:val="none" w:sz="0" w:space="0" w:color="auto"/>
            <w:bottom w:val="none" w:sz="0" w:space="0" w:color="auto"/>
            <w:right w:val="none" w:sz="0" w:space="0" w:color="auto"/>
          </w:divBdr>
        </w:div>
        <w:div w:id="1106729164">
          <w:marLeft w:val="1166"/>
          <w:marRight w:val="0"/>
          <w:marTop w:val="0"/>
          <w:marBottom w:val="0"/>
          <w:divBdr>
            <w:top w:val="none" w:sz="0" w:space="0" w:color="auto"/>
            <w:left w:val="none" w:sz="0" w:space="0" w:color="auto"/>
            <w:bottom w:val="none" w:sz="0" w:space="0" w:color="auto"/>
            <w:right w:val="none" w:sz="0" w:space="0" w:color="auto"/>
          </w:divBdr>
        </w:div>
        <w:div w:id="1807042938">
          <w:marLeft w:val="446"/>
          <w:marRight w:val="0"/>
          <w:marTop w:val="0"/>
          <w:marBottom w:val="0"/>
          <w:divBdr>
            <w:top w:val="none" w:sz="0" w:space="0" w:color="auto"/>
            <w:left w:val="none" w:sz="0" w:space="0" w:color="auto"/>
            <w:bottom w:val="none" w:sz="0" w:space="0" w:color="auto"/>
            <w:right w:val="none" w:sz="0" w:space="0" w:color="auto"/>
          </w:divBdr>
        </w:div>
        <w:div w:id="797139786">
          <w:marLeft w:val="446"/>
          <w:marRight w:val="0"/>
          <w:marTop w:val="0"/>
          <w:marBottom w:val="0"/>
          <w:divBdr>
            <w:top w:val="none" w:sz="0" w:space="0" w:color="auto"/>
            <w:left w:val="none" w:sz="0" w:space="0" w:color="auto"/>
            <w:bottom w:val="none" w:sz="0" w:space="0" w:color="auto"/>
            <w:right w:val="none" w:sz="0" w:space="0" w:color="auto"/>
          </w:divBdr>
        </w:div>
      </w:divsChild>
    </w:div>
    <w:div w:id="1084375349">
      <w:bodyDiv w:val="1"/>
      <w:marLeft w:val="0"/>
      <w:marRight w:val="0"/>
      <w:marTop w:val="0"/>
      <w:marBottom w:val="0"/>
      <w:divBdr>
        <w:top w:val="none" w:sz="0" w:space="0" w:color="auto"/>
        <w:left w:val="none" w:sz="0" w:space="0" w:color="auto"/>
        <w:bottom w:val="none" w:sz="0" w:space="0" w:color="auto"/>
        <w:right w:val="none" w:sz="0" w:space="0" w:color="auto"/>
      </w:divBdr>
    </w:div>
    <w:div w:id="1106538248">
      <w:bodyDiv w:val="1"/>
      <w:marLeft w:val="0"/>
      <w:marRight w:val="0"/>
      <w:marTop w:val="0"/>
      <w:marBottom w:val="0"/>
      <w:divBdr>
        <w:top w:val="none" w:sz="0" w:space="0" w:color="auto"/>
        <w:left w:val="none" w:sz="0" w:space="0" w:color="auto"/>
        <w:bottom w:val="none" w:sz="0" w:space="0" w:color="auto"/>
        <w:right w:val="none" w:sz="0" w:space="0" w:color="auto"/>
      </w:divBdr>
    </w:div>
    <w:div w:id="1180387597">
      <w:bodyDiv w:val="1"/>
      <w:marLeft w:val="0"/>
      <w:marRight w:val="0"/>
      <w:marTop w:val="0"/>
      <w:marBottom w:val="0"/>
      <w:divBdr>
        <w:top w:val="none" w:sz="0" w:space="0" w:color="auto"/>
        <w:left w:val="none" w:sz="0" w:space="0" w:color="auto"/>
        <w:bottom w:val="none" w:sz="0" w:space="0" w:color="auto"/>
        <w:right w:val="none" w:sz="0" w:space="0" w:color="auto"/>
      </w:divBdr>
    </w:div>
    <w:div w:id="1230072105">
      <w:bodyDiv w:val="1"/>
      <w:marLeft w:val="0"/>
      <w:marRight w:val="0"/>
      <w:marTop w:val="0"/>
      <w:marBottom w:val="0"/>
      <w:divBdr>
        <w:top w:val="none" w:sz="0" w:space="0" w:color="auto"/>
        <w:left w:val="none" w:sz="0" w:space="0" w:color="auto"/>
        <w:bottom w:val="none" w:sz="0" w:space="0" w:color="auto"/>
        <w:right w:val="none" w:sz="0" w:space="0" w:color="auto"/>
      </w:divBdr>
    </w:div>
    <w:div w:id="1338581093">
      <w:bodyDiv w:val="1"/>
      <w:marLeft w:val="0"/>
      <w:marRight w:val="0"/>
      <w:marTop w:val="0"/>
      <w:marBottom w:val="0"/>
      <w:divBdr>
        <w:top w:val="none" w:sz="0" w:space="0" w:color="auto"/>
        <w:left w:val="none" w:sz="0" w:space="0" w:color="auto"/>
        <w:bottom w:val="none" w:sz="0" w:space="0" w:color="auto"/>
        <w:right w:val="none" w:sz="0" w:space="0" w:color="auto"/>
      </w:divBdr>
    </w:div>
    <w:div w:id="1394087336">
      <w:bodyDiv w:val="1"/>
      <w:marLeft w:val="0"/>
      <w:marRight w:val="0"/>
      <w:marTop w:val="0"/>
      <w:marBottom w:val="0"/>
      <w:divBdr>
        <w:top w:val="none" w:sz="0" w:space="0" w:color="auto"/>
        <w:left w:val="none" w:sz="0" w:space="0" w:color="auto"/>
        <w:bottom w:val="none" w:sz="0" w:space="0" w:color="auto"/>
        <w:right w:val="none" w:sz="0" w:space="0" w:color="auto"/>
      </w:divBdr>
    </w:div>
    <w:div w:id="14327730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753">
          <w:marLeft w:val="0"/>
          <w:marRight w:val="0"/>
          <w:marTop w:val="0"/>
          <w:marBottom w:val="240"/>
          <w:divBdr>
            <w:top w:val="none" w:sz="0" w:space="0" w:color="auto"/>
            <w:left w:val="none" w:sz="0" w:space="0" w:color="auto"/>
            <w:bottom w:val="none" w:sz="0" w:space="0" w:color="auto"/>
            <w:right w:val="none" w:sz="0" w:space="0" w:color="auto"/>
          </w:divBdr>
        </w:div>
        <w:div w:id="683046412">
          <w:marLeft w:val="0"/>
          <w:marRight w:val="0"/>
          <w:marTop w:val="0"/>
          <w:marBottom w:val="240"/>
          <w:divBdr>
            <w:top w:val="none" w:sz="0" w:space="0" w:color="auto"/>
            <w:left w:val="none" w:sz="0" w:space="0" w:color="auto"/>
            <w:bottom w:val="none" w:sz="0" w:space="0" w:color="auto"/>
            <w:right w:val="none" w:sz="0" w:space="0" w:color="auto"/>
          </w:divBdr>
        </w:div>
        <w:div w:id="1370447010">
          <w:marLeft w:val="0"/>
          <w:marRight w:val="0"/>
          <w:marTop w:val="0"/>
          <w:marBottom w:val="240"/>
          <w:divBdr>
            <w:top w:val="none" w:sz="0" w:space="0" w:color="auto"/>
            <w:left w:val="none" w:sz="0" w:space="0" w:color="auto"/>
            <w:bottom w:val="none" w:sz="0" w:space="0" w:color="auto"/>
            <w:right w:val="none" w:sz="0" w:space="0" w:color="auto"/>
          </w:divBdr>
        </w:div>
      </w:divsChild>
    </w:div>
    <w:div w:id="1476754975">
      <w:bodyDiv w:val="1"/>
      <w:marLeft w:val="0"/>
      <w:marRight w:val="0"/>
      <w:marTop w:val="0"/>
      <w:marBottom w:val="0"/>
      <w:divBdr>
        <w:top w:val="none" w:sz="0" w:space="0" w:color="auto"/>
        <w:left w:val="none" w:sz="0" w:space="0" w:color="auto"/>
        <w:bottom w:val="none" w:sz="0" w:space="0" w:color="auto"/>
        <w:right w:val="none" w:sz="0" w:space="0" w:color="auto"/>
      </w:divBdr>
    </w:div>
    <w:div w:id="1528257174">
      <w:bodyDiv w:val="1"/>
      <w:marLeft w:val="0"/>
      <w:marRight w:val="0"/>
      <w:marTop w:val="0"/>
      <w:marBottom w:val="0"/>
      <w:divBdr>
        <w:top w:val="none" w:sz="0" w:space="0" w:color="auto"/>
        <w:left w:val="none" w:sz="0" w:space="0" w:color="auto"/>
        <w:bottom w:val="none" w:sz="0" w:space="0" w:color="auto"/>
        <w:right w:val="none" w:sz="0" w:space="0" w:color="auto"/>
      </w:divBdr>
    </w:div>
    <w:div w:id="1571040363">
      <w:bodyDiv w:val="1"/>
      <w:marLeft w:val="0"/>
      <w:marRight w:val="0"/>
      <w:marTop w:val="0"/>
      <w:marBottom w:val="0"/>
      <w:divBdr>
        <w:top w:val="none" w:sz="0" w:space="0" w:color="auto"/>
        <w:left w:val="none" w:sz="0" w:space="0" w:color="auto"/>
        <w:bottom w:val="none" w:sz="0" w:space="0" w:color="auto"/>
        <w:right w:val="none" w:sz="0" w:space="0" w:color="auto"/>
      </w:divBdr>
    </w:div>
    <w:div w:id="1651251284">
      <w:bodyDiv w:val="1"/>
      <w:marLeft w:val="0"/>
      <w:marRight w:val="0"/>
      <w:marTop w:val="0"/>
      <w:marBottom w:val="0"/>
      <w:divBdr>
        <w:top w:val="none" w:sz="0" w:space="0" w:color="auto"/>
        <w:left w:val="none" w:sz="0" w:space="0" w:color="auto"/>
        <w:bottom w:val="none" w:sz="0" w:space="0" w:color="auto"/>
        <w:right w:val="none" w:sz="0" w:space="0" w:color="auto"/>
      </w:divBdr>
    </w:div>
    <w:div w:id="1784617244">
      <w:bodyDiv w:val="1"/>
      <w:marLeft w:val="0"/>
      <w:marRight w:val="0"/>
      <w:marTop w:val="0"/>
      <w:marBottom w:val="0"/>
      <w:divBdr>
        <w:top w:val="none" w:sz="0" w:space="0" w:color="auto"/>
        <w:left w:val="none" w:sz="0" w:space="0" w:color="auto"/>
        <w:bottom w:val="none" w:sz="0" w:space="0" w:color="auto"/>
        <w:right w:val="none" w:sz="0" w:space="0" w:color="auto"/>
      </w:divBdr>
      <w:divsChild>
        <w:div w:id="532545612">
          <w:marLeft w:val="446"/>
          <w:marRight w:val="0"/>
          <w:marTop w:val="0"/>
          <w:marBottom w:val="0"/>
          <w:divBdr>
            <w:top w:val="none" w:sz="0" w:space="0" w:color="auto"/>
            <w:left w:val="none" w:sz="0" w:space="0" w:color="auto"/>
            <w:bottom w:val="none" w:sz="0" w:space="0" w:color="auto"/>
            <w:right w:val="none" w:sz="0" w:space="0" w:color="auto"/>
          </w:divBdr>
        </w:div>
        <w:div w:id="287053664">
          <w:marLeft w:val="446"/>
          <w:marRight w:val="0"/>
          <w:marTop w:val="0"/>
          <w:marBottom w:val="0"/>
          <w:divBdr>
            <w:top w:val="none" w:sz="0" w:space="0" w:color="auto"/>
            <w:left w:val="none" w:sz="0" w:space="0" w:color="auto"/>
            <w:bottom w:val="none" w:sz="0" w:space="0" w:color="auto"/>
            <w:right w:val="none" w:sz="0" w:space="0" w:color="auto"/>
          </w:divBdr>
        </w:div>
        <w:div w:id="752432608">
          <w:marLeft w:val="360"/>
          <w:marRight w:val="0"/>
          <w:marTop w:val="0"/>
          <w:marBottom w:val="0"/>
          <w:divBdr>
            <w:top w:val="none" w:sz="0" w:space="0" w:color="auto"/>
            <w:left w:val="none" w:sz="0" w:space="0" w:color="auto"/>
            <w:bottom w:val="none" w:sz="0" w:space="0" w:color="auto"/>
            <w:right w:val="none" w:sz="0" w:space="0" w:color="auto"/>
          </w:divBdr>
        </w:div>
        <w:div w:id="261954925">
          <w:marLeft w:val="360"/>
          <w:marRight w:val="0"/>
          <w:marTop w:val="0"/>
          <w:marBottom w:val="0"/>
          <w:divBdr>
            <w:top w:val="none" w:sz="0" w:space="0" w:color="auto"/>
            <w:left w:val="none" w:sz="0" w:space="0" w:color="auto"/>
            <w:bottom w:val="none" w:sz="0" w:space="0" w:color="auto"/>
            <w:right w:val="none" w:sz="0" w:space="0" w:color="auto"/>
          </w:divBdr>
        </w:div>
        <w:div w:id="1984190961">
          <w:marLeft w:val="360"/>
          <w:marRight w:val="0"/>
          <w:marTop w:val="0"/>
          <w:marBottom w:val="0"/>
          <w:divBdr>
            <w:top w:val="none" w:sz="0" w:space="0" w:color="auto"/>
            <w:left w:val="none" w:sz="0" w:space="0" w:color="auto"/>
            <w:bottom w:val="none" w:sz="0" w:space="0" w:color="auto"/>
            <w:right w:val="none" w:sz="0" w:space="0" w:color="auto"/>
          </w:divBdr>
        </w:div>
        <w:div w:id="1416778435">
          <w:marLeft w:val="1166"/>
          <w:marRight w:val="0"/>
          <w:marTop w:val="0"/>
          <w:marBottom w:val="0"/>
          <w:divBdr>
            <w:top w:val="none" w:sz="0" w:space="0" w:color="auto"/>
            <w:left w:val="none" w:sz="0" w:space="0" w:color="auto"/>
            <w:bottom w:val="none" w:sz="0" w:space="0" w:color="auto"/>
            <w:right w:val="none" w:sz="0" w:space="0" w:color="auto"/>
          </w:divBdr>
        </w:div>
        <w:div w:id="2128772095">
          <w:marLeft w:val="1166"/>
          <w:marRight w:val="0"/>
          <w:marTop w:val="0"/>
          <w:marBottom w:val="0"/>
          <w:divBdr>
            <w:top w:val="none" w:sz="0" w:space="0" w:color="auto"/>
            <w:left w:val="none" w:sz="0" w:space="0" w:color="auto"/>
            <w:bottom w:val="none" w:sz="0" w:space="0" w:color="auto"/>
            <w:right w:val="none" w:sz="0" w:space="0" w:color="auto"/>
          </w:divBdr>
        </w:div>
        <w:div w:id="1765803684">
          <w:marLeft w:val="446"/>
          <w:marRight w:val="0"/>
          <w:marTop w:val="0"/>
          <w:marBottom w:val="0"/>
          <w:divBdr>
            <w:top w:val="none" w:sz="0" w:space="0" w:color="auto"/>
            <w:left w:val="none" w:sz="0" w:space="0" w:color="auto"/>
            <w:bottom w:val="none" w:sz="0" w:space="0" w:color="auto"/>
            <w:right w:val="none" w:sz="0" w:space="0" w:color="auto"/>
          </w:divBdr>
        </w:div>
        <w:div w:id="978997036">
          <w:marLeft w:val="446"/>
          <w:marRight w:val="0"/>
          <w:marTop w:val="0"/>
          <w:marBottom w:val="0"/>
          <w:divBdr>
            <w:top w:val="none" w:sz="0" w:space="0" w:color="auto"/>
            <w:left w:val="none" w:sz="0" w:space="0" w:color="auto"/>
            <w:bottom w:val="none" w:sz="0" w:space="0" w:color="auto"/>
            <w:right w:val="none" w:sz="0" w:space="0" w:color="auto"/>
          </w:divBdr>
        </w:div>
      </w:divsChild>
    </w:div>
    <w:div w:id="1822916495">
      <w:bodyDiv w:val="1"/>
      <w:marLeft w:val="0"/>
      <w:marRight w:val="0"/>
      <w:marTop w:val="0"/>
      <w:marBottom w:val="0"/>
      <w:divBdr>
        <w:top w:val="none" w:sz="0" w:space="0" w:color="auto"/>
        <w:left w:val="none" w:sz="0" w:space="0" w:color="auto"/>
        <w:bottom w:val="none" w:sz="0" w:space="0" w:color="auto"/>
        <w:right w:val="none" w:sz="0" w:space="0" w:color="auto"/>
      </w:divBdr>
    </w:div>
    <w:div w:id="1918589522">
      <w:bodyDiv w:val="1"/>
      <w:marLeft w:val="0"/>
      <w:marRight w:val="0"/>
      <w:marTop w:val="0"/>
      <w:marBottom w:val="0"/>
      <w:divBdr>
        <w:top w:val="none" w:sz="0" w:space="0" w:color="auto"/>
        <w:left w:val="none" w:sz="0" w:space="0" w:color="auto"/>
        <w:bottom w:val="none" w:sz="0" w:space="0" w:color="auto"/>
        <w:right w:val="none" w:sz="0" w:space="0" w:color="auto"/>
      </w:divBdr>
    </w:div>
    <w:div w:id="1969621299">
      <w:bodyDiv w:val="1"/>
      <w:marLeft w:val="0"/>
      <w:marRight w:val="0"/>
      <w:marTop w:val="0"/>
      <w:marBottom w:val="0"/>
      <w:divBdr>
        <w:top w:val="none" w:sz="0" w:space="0" w:color="auto"/>
        <w:left w:val="none" w:sz="0" w:space="0" w:color="auto"/>
        <w:bottom w:val="none" w:sz="0" w:space="0" w:color="auto"/>
        <w:right w:val="none" w:sz="0" w:space="0" w:color="auto"/>
      </w:divBdr>
    </w:div>
    <w:div w:id="2002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xboar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GTRollovers@taxboard.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20CGTRollovers@taxboard.gov.au"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GTRollovers@taxboard.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_dlc_DocId xmlns="0f563589-9cf9-4143-b1eb-fb0534803d38">2020RG-355-7699</_dlc_DocId>
    <TaxCatchAll xmlns="0f563589-9cf9-4143-b1eb-fb0534803d38">
      <Value>18</Value>
    </TaxCatchAll>
    <_dlc_DocIdUrl xmlns="0f563589-9cf9-4143-b1eb-fb0534803d38">
      <Url>http://tweb/sites/rg/bots/projects/_layouts/15/DocIdRedir.aspx?ID=2020RG-355-7699</Url>
      <Description>2020RG-355-7699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26329" ma:contentTypeDescription="" ma:contentTypeScope="" ma:versionID="abc17a79bedc9f02d743bad774337a1f">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Boa07</b:Tag>
    <b:SourceType>Report</b:SourceType>
    <b:Guid>{8C0A7B92-1616-4964-81E5-69FDE6C642E5}</b:Guid>
    <b:Title>Scoping study of small business tax compliance costs | Report to Treasurer</b:Title>
    <b:Year>December 2007</b:Year>
    <b:Publisher>Commonwealth of Australia</b:Publisher>
    <b:Author>
      <b:Author>
        <b:Corporate>Board of Taxation</b:Corporate>
      </b:Author>
    </b:Author>
    <b:RefOrder>1</b:RefOrder>
  </b:Source>
  <b:Source>
    <b:Tag>Boa14</b:Tag>
    <b:SourceType>Report</b:SourceType>
    <b:Guid>{AFAE0FE7-41D9-4383-85F8-FD1CC36C2454}</b:Guid>
    <b:Author>
      <b:Author>
        <b:Corporate>Board of Taxation</b:Corporate>
      </b:Author>
    </b:Author>
    <b:Title>Post implementation review of Division 7A of Part III of the Income Tax Assessment Act 1936 | Report to the Assistant Treasurer </b:Title>
    <b:Year>November 2014</b:Year>
    <b:Publisher>Commonwealth of Australia</b:Publisher>
    <b:RefOrder>2</b:RefOrder>
  </b:Source>
</b:Sources>
</file>

<file path=customXml/itemProps1.xml><?xml version="1.0" encoding="utf-8"?>
<ds:datastoreItem xmlns:ds="http://schemas.openxmlformats.org/officeDocument/2006/customXml" ds:itemID="{E693A0AA-3714-4EC9-BAAD-C5B0DDA1A3BC}">
  <ds:schemaRefs>
    <ds:schemaRef ds:uri="http://schemas.microsoft.com/sharepoint/v3/contenttype/forms"/>
  </ds:schemaRefs>
</ds:datastoreItem>
</file>

<file path=customXml/itemProps2.xml><?xml version="1.0" encoding="utf-8"?>
<ds:datastoreItem xmlns:ds="http://schemas.openxmlformats.org/officeDocument/2006/customXml" ds:itemID="{4BE00576-36E0-41A1-A894-880D03D0FC1F}">
  <ds:schemaRefs>
    <ds:schemaRef ds:uri="office.server.policy"/>
  </ds:schemaRefs>
</ds:datastoreItem>
</file>

<file path=customXml/itemProps3.xml><?xml version="1.0" encoding="utf-8"?>
<ds:datastoreItem xmlns:ds="http://schemas.openxmlformats.org/officeDocument/2006/customXml" ds:itemID="{C493AB89-7EED-41B5-B94F-27DD9B6E96A7}">
  <ds:schemaRefs>
    <ds:schemaRef ds:uri="http://schemas.microsoft.com/sharepoint/v4"/>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9f7bc583-7cbe-45b9-a2bd-8bbb6543b37e"/>
    <ds:schemaRef ds:uri="http://schemas.microsoft.com/office/infopath/2007/PartnerControls"/>
    <ds:schemaRef ds:uri="0f563589-9cf9-4143-b1eb-fb0534803d38"/>
    <ds:schemaRef ds:uri="http://schemas.microsoft.com/sharepoint/v3"/>
  </ds:schemaRefs>
</ds:datastoreItem>
</file>

<file path=customXml/itemProps4.xml><?xml version="1.0" encoding="utf-8"?>
<ds:datastoreItem xmlns:ds="http://schemas.openxmlformats.org/officeDocument/2006/customXml" ds:itemID="{B8EE1E41-E315-49BF-A6AF-C7BB524F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44796-D342-4E71-9E82-BBE123E51915}">
  <ds:schemaRefs>
    <ds:schemaRef ds:uri="http://schemas.microsoft.com/sharepoint/events"/>
  </ds:schemaRefs>
</ds:datastoreItem>
</file>

<file path=customXml/itemProps6.xml><?xml version="1.0" encoding="utf-8"?>
<ds:datastoreItem xmlns:ds="http://schemas.openxmlformats.org/officeDocument/2006/customXml" ds:itemID="{B1209403-04CD-4F66-8373-B2BAB996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200130_Draft Consultation Guide V3</vt:lpstr>
    </vt:vector>
  </TitlesOfParts>
  <Company>Australian Government - The Treasury</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200130_Draft Consultation Guide V3</dc:title>
  <dc:creator>Scarano, David</dc:creator>
  <cp:lastModifiedBy>Flego, Adrian</cp:lastModifiedBy>
  <cp:revision>18</cp:revision>
  <cp:lastPrinted>2020-02-06T04:23:00Z</cp:lastPrinted>
  <dcterms:created xsi:type="dcterms:W3CDTF">2020-02-06T04:23:00Z</dcterms:created>
  <dcterms:modified xsi:type="dcterms:W3CDTF">2020-02-07T04:00:00Z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ingDocStatus">
    <vt:lpwstr/>
  </property>
  <property fmtid="{D5CDD505-2E9C-101B-9397-08002B2CF9AE}" pid="4" name="ContentTypeId">
    <vt:lpwstr>0x01010036BB8DE7EC542E42A8B2E98CC20CB697007F2E04CA2AAA104DB2D93AC73B6CBA42</vt:lpwstr>
  </property>
  <property fmtid="{D5CDD505-2E9C-101B-9397-08002B2CF9AE}" pid="5" name="TSYRecordClass">
    <vt:lpwstr>18;#GRA26-21135 - Retain as national archives|f1e1d764-3604-4ca6-bc54-6b106e291d6f</vt:lpwstr>
  </property>
  <property fmtid="{D5CDD505-2E9C-101B-9397-08002B2CF9AE}" pid="6" name="RecordPoint_WorkflowType">
    <vt:lpwstr>ActiveSubmitStub</vt:lpwstr>
  </property>
  <property fmtid="{D5CDD505-2E9C-101B-9397-08002B2CF9AE}" pid="7" name="RecordPoint_ActiveItemSiteId">
    <vt:lpwstr>{de902461-0703-410e-906b-a2e3a4f5dd57}</vt:lpwstr>
  </property>
  <property fmtid="{D5CDD505-2E9C-101B-9397-08002B2CF9AE}" pid="8" name="RecordPoint_ActiveItemListId">
    <vt:lpwstr>{1a5197ea-2690-47fd-a085-19629528b6d0}</vt:lpwstr>
  </property>
  <property fmtid="{D5CDD505-2E9C-101B-9397-08002B2CF9AE}" pid="9" name="RecordPoint_ActiveItemUniqueId">
    <vt:lpwstr>{b14bf821-de3d-46a1-bcdb-26a69724059d}</vt:lpwstr>
  </property>
  <property fmtid="{D5CDD505-2E9C-101B-9397-08002B2CF9AE}" pid="10" name="RecordPoint_ActiveItemWebId">
    <vt:lpwstr>{e237d495-0881-4849-ae62-ddc8a8132df5}</vt:lpwstr>
  </property>
  <property fmtid="{D5CDD505-2E9C-101B-9397-08002B2CF9AE}" pid="11" name="SecurityClassification">
    <vt:lpwstr>For Official Use Only</vt:lpwstr>
  </property>
  <property fmtid="{D5CDD505-2E9C-101B-9397-08002B2CF9AE}" pid="12" name="DLMSecurityClassification">
    <vt:lpwstr/>
  </property>
  <property fmtid="{D5CDD505-2E9C-101B-9397-08002B2CF9AE}" pid="13" name="_dlc_DocIdItemGuid">
    <vt:lpwstr>c86f6130-a293-41cd-9e58-960c5f3b92ff</vt:lpwstr>
  </property>
  <property fmtid="{D5CDD505-2E9C-101B-9397-08002B2CF9AE}" pid="14" name="_AdHocReviewCycleID">
    <vt:i4>1077369204</vt:i4>
  </property>
  <property fmtid="{D5CDD505-2E9C-101B-9397-08002B2CF9AE}" pid="15" name="_EmailSubject">
    <vt:lpwstr>Update to Board's website - CGT roll-overs | Service Request 53774 [SEC=OFFICIAL]</vt:lpwstr>
  </property>
  <property fmtid="{D5CDD505-2E9C-101B-9397-08002B2CF9AE}" pid="16" name="_AuthorEmail">
    <vt:lpwstr>Paul.Atkinson@TREASURY.GOV.AU</vt:lpwstr>
  </property>
  <property fmtid="{D5CDD505-2E9C-101B-9397-08002B2CF9AE}" pid="17" name="_AuthorEmailDisplayName">
    <vt:lpwstr>Atkinson, Paul</vt:lpwstr>
  </property>
  <property fmtid="{D5CDD505-2E9C-101B-9397-08002B2CF9AE}" pid="19" name="Order">
    <vt:r8>764500</vt:r8>
  </property>
  <property fmtid="{D5CDD505-2E9C-101B-9397-08002B2CF9AE}" pid="20" name="oae75e2df9d943898d59cb03ca0993c5">
    <vt:lpwstr/>
  </property>
  <property fmtid="{D5CDD505-2E9C-101B-9397-08002B2CF9AE}" pid="21" name="Topics">
    <vt:lpwstr/>
  </property>
  <property fmtid="{D5CDD505-2E9C-101B-9397-08002B2CF9AE}" pid="22" name="_PreviousAdHocReviewCycleID">
    <vt:i4>2135815616</vt:i4>
  </property>
</Properties>
</file>